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STUDENT HANDBOOK</w:t>
      </w:r>
    </w:p>
    <w:p>
      <w:pPr>
        <w:jc w:val="center"/>
      </w:pPr>
      <w:r>
        <w:rPr>
          <w:b/>
        </w:rPr>
        <w:t>2026–2027  |  Institutional Edition</w:t>
      </w:r>
    </w:p>
    <w:p>
      <w:pPr>
        <w:jc w:val="center"/>
      </w:pPr>
      <w:r>
        <w:t>Lymphanoint Global Therapeutic Academy of Lymphatics (LGTAL)</w:t>
      </w:r>
    </w:p>
    <w:p>
      <w:pPr>
        <w:jc w:val="center"/>
      </w:pPr>
      <w:r>
        <w:t>Evidence-Based Education • Clinical Excellence • Global Lymphatic Care</w:t>
      </w:r>
    </w:p>
    <w:p>
      <w:r>
        <w:t>Prepared for students in continuing professional development, online learning, laboratory education and clinical skills programs.</w:t>
      </w:r>
    </w:p>
    <w:p>
      <w:r>
        <w:t>Institutional owner: LGTAL  |  Academic lead: Dr. Abigail Leslie, OTR/L, OTD, CLT, PAMS</w:t>
      </w:r>
    </w:p>
    <w:p>
      <w:r>
        <w:t>Website: www.lymphanointtherapeuticot.com  |  Email: info@lymphanointtherapeuticot.com</w:t>
      </w:r>
    </w:p>
    <w:p>
      <w:r>
        <w:t>Version: 1.0  •  Publication date: October 2026  •  Next scheduled review: October 2027</w:t>
      </w:r>
    </w:p>
    <w:p>
      <w:r>
        <w:t>STATUS: Final editorial edition; policies requiring institutional authorization or jurisdiction-specific verification are identified in the implementation register. This handbook does not independently confer professional accreditation or licensure.</w:t>
      </w:r>
    </w:p>
    <w:p>
      <w:r>
        <w:br w:type="page"/>
      </w:r>
    </w:p>
    <w:p>
      <w:pPr>
        <w:pStyle w:val="Heading1"/>
      </w:pPr>
      <w:r>
        <w:t>How to use this handbook</w:t>
      </w:r>
    </w:p>
    <w:p>
      <w:r>
        <w:t>This handbook states common expectations for LGTAL learners. Each course syllabus and enrollment agreement supplies the program-specific tuition, deadlines, assessment thresholds, prerequisites, contact hours, delivery mode and refund terms. Where applicable law or a professional regulator imposes a different rule, that rule controls.</w:t>
      </w:r>
    </w:p>
    <w:p>
      <w:pPr>
        <w:pStyle w:val="Heading1"/>
      </w:pPr>
      <w:r>
        <w:t>Contents</w:t>
      </w:r>
    </w:p>
    <w:p>
      <w:pPr/>
      <w:r>
        <w:t>01. Institutional identity and mission</w:t>
      </w:r>
    </w:p>
    <w:p>
      <w:pPr/>
      <w:r>
        <w:t>02. Handbook hierarchy and revisions</w:t>
      </w:r>
    </w:p>
    <w:p>
      <w:pPr/>
      <w:r>
        <w:t>03. Student rights</w:t>
      </w:r>
    </w:p>
    <w:p>
      <w:pPr/>
      <w:r>
        <w:t>04. Student responsibilities</w:t>
      </w:r>
    </w:p>
    <w:p>
      <w:pPr/>
      <w:r>
        <w:t>05. Nondiscrimination and inclusion</w:t>
      </w:r>
    </w:p>
    <w:p>
      <w:pPr/>
      <w:r>
        <w:t>06. Admission eligibility</w:t>
      </w:r>
    </w:p>
    <w:p>
      <w:pPr/>
      <w:r>
        <w:t>07. Registration and orientation</w:t>
      </w:r>
    </w:p>
    <w:p>
      <w:pPr/>
      <w:r>
        <w:t>08. Course formats</w:t>
      </w:r>
    </w:p>
    <w:p>
      <w:pPr/>
      <w:r>
        <w:t>09. Learning objectives and syllabus</w:t>
      </w:r>
    </w:p>
    <w:p>
      <w:pPr/>
      <w:r>
        <w:t>10. LMS access and digital conduct</w:t>
      </w:r>
    </w:p>
    <w:p>
      <w:pPr/>
      <w:r>
        <w:t>11. Attendance and participation</w:t>
      </w:r>
    </w:p>
    <w:p>
      <w:pPr/>
      <w:r>
        <w:t>12. Leave, deferral and withdrawal</w:t>
      </w:r>
    </w:p>
    <w:p>
      <w:pPr/>
      <w:r>
        <w:t>13. Tuition disclosure</w:t>
      </w:r>
    </w:p>
    <w:p>
      <w:pPr/>
      <w:r>
        <w:t>14. Payment plans and delinquency</w:t>
      </w:r>
    </w:p>
    <w:p>
      <w:pPr/>
      <w:r>
        <w:t>15. Refunds and cancellations</w:t>
      </w:r>
    </w:p>
    <w:p>
      <w:pPr/>
      <w:r>
        <w:t>16. Scholarships and global access</w:t>
      </w:r>
    </w:p>
    <w:p>
      <w:pPr/>
      <w:r>
        <w:t>17. Financial disputes</w:t>
      </w:r>
    </w:p>
    <w:p>
      <w:pPr/>
      <w:r>
        <w:t>18. Academic integrity</w:t>
      </w:r>
    </w:p>
    <w:p>
      <w:pPr/>
      <w:r>
        <w:t>19. Assessment design</w:t>
      </w:r>
    </w:p>
    <w:p>
      <w:pPr/>
      <w:r>
        <w:t>20. Written examination administration</w:t>
      </w:r>
    </w:p>
    <w:p>
      <w:pPr/>
      <w:r>
        <w:t>21. Practical competency standards</w:t>
      </w:r>
    </w:p>
    <w:p>
      <w:pPr/>
      <w:r>
        <w:t>22. Clinical safety and contraindications</w:t>
      </w:r>
    </w:p>
    <w:p>
      <w:pPr/>
      <w:r>
        <w:t>23. Manual lymphatic drainage laboratory</w:t>
      </w:r>
    </w:p>
    <w:p>
      <w:pPr/>
      <w:r>
        <w:t>24. Compression and bandaging laboratory</w:t>
      </w:r>
    </w:p>
    <w:p>
      <w:pPr/>
      <w:r>
        <w:t>25. OSCE and competency log</w:t>
      </w:r>
    </w:p>
    <w:p>
      <w:pPr/>
      <w:r>
        <w:t>26. Remediation and reassessment</w:t>
      </w:r>
    </w:p>
    <w:p>
      <w:pPr/>
      <w:r>
        <w:t>27. Progression and academic standing</w:t>
      </w:r>
    </w:p>
    <w:p>
      <w:pPr/>
      <w:r>
        <w:t>28. Satisfactory completion</w:t>
      </w:r>
    </w:p>
    <w:p>
      <w:pPr/>
      <w:r>
        <w:t>29. Continuing education and CEU calculation</w:t>
      </w:r>
    </w:p>
    <w:p>
      <w:pPr/>
      <w:r>
        <w:t>30. Certificates and transcript records</w:t>
      </w:r>
    </w:p>
    <w:p>
      <w:pPr/>
      <w:r>
        <w:t>31. United States continuing education</w:t>
      </w:r>
    </w:p>
    <w:p>
      <w:pPr/>
      <w:r>
        <w:t>32. Kenya continuing professional development</w:t>
      </w:r>
    </w:p>
    <w:p>
      <w:pPr/>
      <w:r>
        <w:t>33. Nigeria continuing professional development</w:t>
      </w:r>
    </w:p>
    <w:p>
      <w:pPr/>
      <w:r>
        <w:t>34. Uganda, Tanzania, Zambia and South Sudan</w:t>
      </w:r>
    </w:p>
    <w:p>
      <w:pPr/>
      <w:r>
        <w:t>35. Other countries and cross-border learning</w:t>
      </w:r>
    </w:p>
    <w:p>
      <w:pPr/>
      <w:r>
        <w:t>36. Accessibility and reasonable accommodations</w:t>
      </w:r>
    </w:p>
    <w:p>
      <w:pPr/>
      <w:r>
        <w:t>37. Student welfare and support</w:t>
      </w:r>
    </w:p>
    <w:p>
      <w:pPr/>
      <w:r>
        <w:t>38. Privacy, patient information and recordings</w:t>
      </w:r>
    </w:p>
    <w:p>
      <w:pPr/>
      <w:r>
        <w:t>39. Copyright and educational materials</w:t>
      </w:r>
    </w:p>
    <w:p>
      <w:pPr/>
      <w:r>
        <w:t>40. Professional conduct and social media</w:t>
      </w:r>
    </w:p>
    <w:p>
      <w:pPr/>
      <w:r>
        <w:t>41. Complaints and grievances</w:t>
      </w:r>
    </w:p>
    <w:p>
      <w:pPr/>
      <w:r>
        <w:t>42. Appeals</w:t>
      </w:r>
    </w:p>
    <w:p>
      <w:pPr/>
      <w:r>
        <w:t>43. Disciplinary process</w:t>
      </w:r>
    </w:p>
    <w:p>
      <w:pPr/>
      <w:r>
        <w:t>44. Records retention and corrections</w:t>
      </w:r>
    </w:p>
    <w:p>
      <w:pPr/>
      <w:r>
        <w:t>45. Quality improvement and faculty feedback</w:t>
      </w:r>
    </w:p>
    <w:p>
      <w:pPr/>
      <w:r>
        <w:t>46. Graduation, alumni and verification</w:t>
      </w:r>
    </w:p>
    <w:p>
      <w:pPr/>
      <w:r>
        <w:t>Appendix 1. Student handbook acknowledgment</w:t>
      </w:r>
    </w:p>
    <w:p>
      <w:pPr/>
      <w:r>
        <w:t>Appendix 2. Enrollment and financial disclosure checklist</w:t>
      </w:r>
    </w:p>
    <w:p>
      <w:pPr/>
      <w:r>
        <w:t>Appendix 3. Accommodation request</w:t>
      </w:r>
    </w:p>
    <w:p>
      <w:pPr/>
      <w:r>
        <w:t>Appendix 4. Attendance correction request</w:t>
      </w:r>
    </w:p>
    <w:p>
      <w:pPr/>
      <w:r>
        <w:t>Appendix 5. Practical competency record</w:t>
      </w:r>
    </w:p>
    <w:p>
      <w:pPr/>
      <w:r>
        <w:t>Appendix 6. Remediation plan</w:t>
      </w:r>
    </w:p>
    <w:p>
      <w:pPr/>
      <w:r>
        <w:t>Appendix 7. Incident and safety report</w:t>
      </w:r>
    </w:p>
    <w:p>
      <w:pPr/>
      <w:r>
        <w:t>Appendix 8. Grievance submission form</w:t>
      </w:r>
    </w:p>
    <w:p>
      <w:pPr/>
      <w:r>
        <w:t>Appendix 9. Appeal request</w:t>
      </w:r>
    </w:p>
    <w:p>
      <w:pPr/>
      <w:r>
        <w:t>Appendix 10. Certificate or record correction</w:t>
      </w:r>
    </w:p>
    <w:p>
      <w:r>
        <w:br w:type="page"/>
      </w:r>
    </w:p>
    <w:p>
      <w:pPr>
        <w:pStyle w:val="Heading1"/>
      </w:pPr>
      <w:r>
        <w:t>01. Institutional identity and mission</w:t>
      </w:r>
    </w:p>
    <w:p>
      <w:pPr>
        <w:pStyle w:val="Heading2"/>
      </w:pPr>
      <w:r>
        <w:t>Purpose and scope</w:t>
      </w:r>
    </w:p>
    <w:p>
      <w:pPr/>
      <w:r>
        <w:t>LGTAL delivers professional education across jurisdictions.</w:t>
      </w:r>
    </w:p>
    <w:p>
      <w:pPr>
        <w:pStyle w:val="Heading2"/>
      </w:pPr>
      <w:r>
        <w:t>Institutional policy</w:t>
      </w:r>
    </w:p>
    <w:p>
      <w:pPr>
        <w:pStyle w:val="ListBullet"/>
      </w:pPr>
      <w:r>
        <w:t>Training is educational and does not replace registration, licensing, or local scope-of-practice rules.</w:t>
      </w:r>
    </w:p>
    <w:p>
      <w:pPr>
        <w:pStyle w:val="ListBullet"/>
      </w:pPr>
      <w:r>
        <w:t>Instruction is grounded in current evidence, patient safety, and interdisciplinary collaboration.</w:t>
      </w:r>
    </w:p>
    <w:p>
      <w:pPr>
        <w:pStyle w:val="ListBullet"/>
      </w:pPr>
      <w:r>
        <w:t>Course descriptions must accurately identify the level, modality, and intended audience.</w:t>
      </w:r>
    </w:p>
    <w:p>
      <w:pPr>
        <w:pStyle w:val="Heading2"/>
      </w:pPr>
      <w:r>
        <w:t>Student procedures</w:t>
      </w:r>
    </w:p>
    <w:p>
      <w:pPr>
        <w:pStyle w:val="ListBullet"/>
      </w:pPr>
      <w:r>
        <w:t>Read the published course description before registering.</w:t>
      </w:r>
    </w:p>
    <w:p>
      <w:pPr>
        <w:pStyle w:val="ListBullet"/>
      </w:pPr>
      <w:r>
        <w:t>Ask the academy about prerequisite experience and recognition in your jurisdiction.</w:t>
      </w:r>
    </w:p>
    <w:p>
      <w:pPr>
        <w:pStyle w:val="ListBullet"/>
      </w:pPr>
      <w:r>
        <w:t>Retain the enrollment agreement and current syllabus.</w:t>
      </w:r>
    </w:p>
    <w:p>
      <w:pPr>
        <w:pStyle w:val="Heading2"/>
      </w:pPr>
      <w:r>
        <w:t>Implementation and records</w:t>
      </w:r>
    </w:p>
    <w:p>
      <w:pPr/>
      <w:r>
        <w:t>The academy should maintain a version-controlled policy register.</w:t>
      </w:r>
    </w:p>
    <w:p>
      <w:pPr>
        <w:pStyle w:val="Heading1"/>
      </w:pPr>
      <w:r>
        <w:t>02. Handbook hierarchy and revisions</w:t>
      </w:r>
    </w:p>
    <w:p>
      <w:pPr>
        <w:pStyle w:val="Heading2"/>
      </w:pPr>
      <w:r>
        <w:t>Purpose and scope</w:t>
      </w:r>
    </w:p>
    <w:p>
      <w:pPr/>
      <w:r>
        <w:t>Policies must be interpreted consistently and transparently.</w:t>
      </w:r>
    </w:p>
    <w:p>
      <w:pPr>
        <w:pStyle w:val="Heading2"/>
      </w:pPr>
      <w:r>
        <w:t>Institutional policy</w:t>
      </w:r>
    </w:p>
    <w:p>
      <w:pPr>
        <w:pStyle w:val="ListBullet"/>
      </w:pPr>
      <w:r>
        <w:t>Law and regulator rules override inconsistent handbook language.</w:t>
      </w:r>
    </w:p>
    <w:p>
      <w:pPr>
        <w:pStyle w:val="ListBullet"/>
      </w:pPr>
      <w:r>
        <w:t>Published course syllabus defines learning objectives, required hours, assessment thresholds and due dates.</w:t>
      </w:r>
    </w:p>
    <w:p>
      <w:pPr>
        <w:pStyle w:val="ListBullet"/>
      </w:pPr>
      <w:r>
        <w:t>Material policy changes should be communicated in writing.</w:t>
      </w:r>
    </w:p>
    <w:p>
      <w:pPr>
        <w:pStyle w:val="Heading2"/>
      </w:pPr>
      <w:r>
        <w:t>Student procedures</w:t>
      </w:r>
    </w:p>
    <w:p>
      <w:pPr>
        <w:pStyle w:val="ListBullet"/>
      </w:pPr>
      <w:r>
        <w:t>Review change notices in the LMS or email.</w:t>
      </w:r>
    </w:p>
    <w:p>
      <w:pPr>
        <w:pStyle w:val="ListBullet"/>
      </w:pPr>
      <w:r>
        <w:t>Request clarification when published documents differ.</w:t>
      </w:r>
    </w:p>
    <w:p>
      <w:pPr>
        <w:pStyle w:val="ListBullet"/>
      </w:pPr>
      <w:r>
        <w:t>Keep a copy of the policy version in force at enrollment.</w:t>
      </w:r>
    </w:p>
    <w:p>
      <w:pPr>
        <w:pStyle w:val="Heading2"/>
      </w:pPr>
      <w:r>
        <w:t>Implementation and records</w:t>
      </w:r>
    </w:p>
    <w:p>
      <w:pPr/>
      <w:r>
        <w:t>Proposed policy: provide reasonable notice before substantive changes affecting currently enrolled students.</w:t>
      </w:r>
    </w:p>
    <w:p>
      <w:pPr>
        <w:pStyle w:val="Heading1"/>
      </w:pPr>
      <w:r>
        <w:t>03. Student rights</w:t>
      </w:r>
    </w:p>
    <w:p>
      <w:pPr>
        <w:pStyle w:val="Heading2"/>
      </w:pPr>
      <w:r>
        <w:t>Purpose and scope</w:t>
      </w:r>
    </w:p>
    <w:p>
      <w:pPr/>
      <w:r>
        <w:t>Every student is entitled to fair and respectful treatment.</w:t>
      </w:r>
    </w:p>
    <w:p>
      <w:pPr>
        <w:pStyle w:val="Heading2"/>
      </w:pPr>
      <w:r>
        <w:t>Institutional policy</w:t>
      </w:r>
    </w:p>
    <w:p>
      <w:pPr>
        <w:pStyle w:val="ListBullet"/>
      </w:pPr>
      <w:r>
        <w:t>Dignity, equal opportunity, and freedom from harassment and retaliation.</w:t>
      </w:r>
    </w:p>
    <w:p>
      <w:pPr>
        <w:pStyle w:val="ListBullet"/>
      </w:pPr>
      <w:r>
        <w:t>Accurate disclosures of course costs, expectations, and certificate eligibility.</w:t>
      </w:r>
    </w:p>
    <w:p>
      <w:pPr>
        <w:pStyle w:val="ListBullet"/>
      </w:pPr>
      <w:r>
        <w:t>A fair process to request accommodation, complain, and appeal.</w:t>
      </w:r>
    </w:p>
    <w:p>
      <w:pPr>
        <w:pStyle w:val="ListBullet"/>
      </w:pPr>
      <w:r>
        <w:t>Confidential handling of education records.</w:t>
      </w:r>
    </w:p>
    <w:p>
      <w:pPr>
        <w:pStyle w:val="Heading2"/>
      </w:pPr>
      <w:r>
        <w:t>Student procedures</w:t>
      </w:r>
    </w:p>
    <w:p>
      <w:pPr>
        <w:pStyle w:val="ListBullet"/>
      </w:pPr>
      <w:r>
        <w:t>Raise concerns through the confidential student support channel.</w:t>
      </w:r>
    </w:p>
    <w:p>
      <w:pPr>
        <w:pStyle w:val="ListBullet"/>
      </w:pPr>
      <w:r>
        <w:t>Document any disputed attendance or assessment decision.</w:t>
      </w:r>
    </w:p>
    <w:p>
      <w:pPr>
        <w:pStyle w:val="ListBullet"/>
      </w:pPr>
      <w:r>
        <w:t>Request accessible formats early, while late requests will still be considered.</w:t>
      </w:r>
    </w:p>
    <w:p>
      <w:r>
        <w:br w:type="page"/>
      </w:r>
    </w:p>
    <w:p>
      <w:pPr>
        <w:pStyle w:val="Heading1"/>
      </w:pPr>
      <w:r>
        <w:t>04. Student responsibilities</w:t>
      </w:r>
    </w:p>
    <w:p>
      <w:pPr>
        <w:pStyle w:val="Heading2"/>
      </w:pPr>
      <w:r>
        <w:t>Purpose and scope</w:t>
      </w:r>
    </w:p>
    <w:p>
      <w:pPr/>
      <w:r>
        <w:t>Enrollment carries academic and professional duties.</w:t>
      </w:r>
    </w:p>
    <w:p>
      <w:pPr>
        <w:pStyle w:val="Heading2"/>
      </w:pPr>
      <w:r>
        <w:t>Institutional policy</w:t>
      </w:r>
    </w:p>
    <w:p>
      <w:pPr>
        <w:pStyle w:val="ListBullet"/>
      </w:pPr>
      <w:r>
        <w:t>Comply with applicable professional codes and patient safety standards.</w:t>
      </w:r>
    </w:p>
    <w:p>
      <w:pPr>
        <w:pStyle w:val="ListBullet"/>
      </w:pPr>
      <w:r>
        <w:t>Maintain respectful communication and appropriate boundaries.</w:t>
      </w:r>
    </w:p>
    <w:p>
      <w:pPr>
        <w:pStyle w:val="ListBullet"/>
      </w:pPr>
      <w:r>
        <w:t>Complete assignments honestly and on time.</w:t>
      </w:r>
    </w:p>
    <w:p>
      <w:pPr>
        <w:pStyle w:val="ListBullet"/>
      </w:pPr>
      <w:r>
        <w:t>Protect patient information and licensed educational materials.</w:t>
      </w:r>
    </w:p>
    <w:p>
      <w:pPr>
        <w:pStyle w:val="Heading2"/>
      </w:pPr>
      <w:r>
        <w:t>Student procedures</w:t>
      </w:r>
    </w:p>
    <w:p>
      <w:pPr>
        <w:pStyle w:val="ListBullet"/>
      </w:pPr>
      <w:r>
        <w:t>Check official course messages regularly.</w:t>
      </w:r>
    </w:p>
    <w:p>
      <w:pPr>
        <w:pStyle w:val="ListBullet"/>
      </w:pPr>
      <w:r>
        <w:t>Bring required supplies to practical sessions.</w:t>
      </w:r>
    </w:p>
    <w:p>
      <w:pPr>
        <w:pStyle w:val="ListBullet"/>
      </w:pPr>
      <w:r>
        <w:t>Report unsafe conditions and suspected misconduct promptly.</w:t>
      </w:r>
    </w:p>
    <w:p>
      <w:pPr>
        <w:pStyle w:val="Heading1"/>
      </w:pPr>
      <w:r>
        <w:t>05. Nondiscrimination and inclusion</w:t>
      </w:r>
    </w:p>
    <w:p>
      <w:pPr>
        <w:pStyle w:val="Heading2"/>
      </w:pPr>
      <w:r>
        <w:t>Purpose and scope</w:t>
      </w:r>
    </w:p>
    <w:p>
      <w:pPr/>
      <w:r>
        <w:t>LGTAL supports a diverse international learning community.</w:t>
      </w:r>
    </w:p>
    <w:p>
      <w:pPr>
        <w:pStyle w:val="Heading2"/>
      </w:pPr>
      <w:r>
        <w:t>Institutional policy</w:t>
      </w:r>
    </w:p>
    <w:p>
      <w:pPr>
        <w:pStyle w:val="ListBullet"/>
      </w:pPr>
      <w:r>
        <w:t>Discrimination, bullying, and harassment are prohibited.</w:t>
      </w:r>
    </w:p>
    <w:p>
      <w:pPr>
        <w:pStyle w:val="ListBullet"/>
      </w:pPr>
      <w:r>
        <w:t>Reasonable adjustments are assessed individually.</w:t>
      </w:r>
    </w:p>
    <w:p>
      <w:pPr>
        <w:pStyle w:val="ListBullet"/>
      </w:pPr>
      <w:r>
        <w:t>Academic and safety standards apply consistently to all learners.</w:t>
      </w:r>
    </w:p>
    <w:p>
      <w:pPr>
        <w:pStyle w:val="Heading2"/>
      </w:pPr>
      <w:r>
        <w:t>Student procedures</w:t>
      </w:r>
    </w:p>
    <w:p>
      <w:pPr>
        <w:pStyle w:val="ListBullet"/>
      </w:pPr>
      <w:r>
        <w:t>Report an incident to the course administrator or designated alternate.</w:t>
      </w:r>
    </w:p>
    <w:p>
      <w:pPr>
        <w:pStyle w:val="ListBullet"/>
      </w:pPr>
      <w:r>
        <w:t>Describe dates, events, witnesses and requested resolution.</w:t>
      </w:r>
    </w:p>
    <w:p>
      <w:pPr>
        <w:pStyle w:val="ListBullet"/>
      </w:pPr>
      <w:r>
        <w:t>Expect a confidential, impartial review to the extent practicable.</w:t>
      </w:r>
    </w:p>
    <w:p>
      <w:pPr>
        <w:pStyle w:val="Heading1"/>
      </w:pPr>
      <w:r>
        <w:t>06. Admission eligibility</w:t>
      </w:r>
    </w:p>
    <w:p>
      <w:pPr>
        <w:pStyle w:val="Heading2"/>
      </w:pPr>
      <w:r>
        <w:t>Purpose and scope</w:t>
      </w:r>
    </w:p>
    <w:p>
      <w:pPr/>
      <w:r>
        <w:t>Admission criteria vary with course risk and professional level.</w:t>
      </w:r>
    </w:p>
    <w:p>
      <w:pPr>
        <w:pStyle w:val="Heading2"/>
      </w:pPr>
      <w:r>
        <w:t>Institutional policy</w:t>
      </w:r>
    </w:p>
    <w:p>
      <w:pPr>
        <w:pStyle w:val="ListBullet"/>
      </w:pPr>
      <w:r>
        <w:t>Introductory continuing education may be open to a broad audience.</w:t>
      </w:r>
    </w:p>
    <w:p>
      <w:pPr>
        <w:pStyle w:val="ListBullet"/>
      </w:pPr>
      <w:r>
        <w:t>Advanced practical training may require proof of professional qualification or enrollment in an eligible health profession.</w:t>
      </w:r>
    </w:p>
    <w:p>
      <w:pPr>
        <w:pStyle w:val="ListBullet"/>
      </w:pPr>
      <w:r>
        <w:t>Enrollment does not authorize clinical practice beyond existing credentials.</w:t>
      </w:r>
    </w:p>
    <w:p>
      <w:pPr>
        <w:pStyle w:val="Heading2"/>
      </w:pPr>
      <w:r>
        <w:t>Student procedures</w:t>
      </w:r>
    </w:p>
    <w:p>
      <w:pPr>
        <w:pStyle w:val="ListBullet"/>
      </w:pPr>
      <w:r>
        <w:t>Submit complete identity and qualification documentation if requested.</w:t>
      </w:r>
    </w:p>
    <w:p>
      <w:pPr>
        <w:pStyle w:val="ListBullet"/>
      </w:pPr>
      <w:r>
        <w:t>Disclose prerequisites honestly.</w:t>
      </w:r>
    </w:p>
    <w:p>
      <w:pPr>
        <w:pStyle w:val="ListBullet"/>
      </w:pPr>
      <w:r>
        <w:t>Seek written approval before substituting equivalent training.</w:t>
      </w:r>
    </w:p>
    <w:p>
      <w:r>
        <w:br w:type="page"/>
      </w:r>
    </w:p>
    <w:p>
      <w:pPr>
        <w:pStyle w:val="Heading1"/>
      </w:pPr>
      <w:r>
        <w:t>07. Registration and orientation</w:t>
      </w:r>
    </w:p>
    <w:p>
      <w:pPr>
        <w:pStyle w:val="Heading2"/>
      </w:pPr>
      <w:r>
        <w:t>Purpose and scope</w:t>
      </w:r>
    </w:p>
    <w:p>
      <w:pPr/>
      <w:r>
        <w:t>A consistent intake process reduces barriers and confusion.</w:t>
      </w:r>
    </w:p>
    <w:p>
      <w:pPr>
        <w:pStyle w:val="Heading2"/>
      </w:pPr>
      <w:r>
        <w:t>Institutional policy</w:t>
      </w:r>
    </w:p>
    <w:p>
      <w:pPr>
        <w:pStyle w:val="ListBullet"/>
      </w:pPr>
      <w:r>
        <w:t>Students receive confirmation, schedule, platform access, required materials, and completion conditions.</w:t>
      </w:r>
    </w:p>
    <w:p>
      <w:pPr>
        <w:pStyle w:val="ListBullet"/>
      </w:pPr>
      <w:r>
        <w:t>Any course-specific terms must be provided before payment.</w:t>
      </w:r>
    </w:p>
    <w:p>
      <w:pPr>
        <w:pStyle w:val="ListBullet"/>
      </w:pPr>
      <w:r>
        <w:t>Identity checks may be used to protect certificate integrity.</w:t>
      </w:r>
    </w:p>
    <w:p>
      <w:pPr>
        <w:pStyle w:val="Heading2"/>
      </w:pPr>
      <w:r>
        <w:t>Student procedures</w:t>
      </w:r>
    </w:p>
    <w:p>
      <w:pPr>
        <w:pStyle w:val="ListBullet"/>
      </w:pPr>
      <w:r>
        <w:t>Complete the registration form and review the syllabus.</w:t>
      </w:r>
    </w:p>
    <w:p>
      <w:pPr>
        <w:pStyle w:val="ListBullet"/>
      </w:pPr>
      <w:r>
        <w:t>Test LMS access and audiovisual requirements.</w:t>
      </w:r>
    </w:p>
    <w:p>
      <w:pPr>
        <w:pStyle w:val="ListBullet"/>
      </w:pPr>
      <w:r>
        <w:t>Contact support promptly if access is delayed.</w:t>
      </w:r>
    </w:p>
    <w:p>
      <w:pPr>
        <w:pStyle w:val="Heading1"/>
      </w:pPr>
      <w:r>
        <w:t>08. Course formats</w:t>
      </w:r>
    </w:p>
    <w:p>
      <w:pPr>
        <w:pStyle w:val="Heading2"/>
      </w:pPr>
      <w:r>
        <w:t>Purpose and scope</w:t>
      </w:r>
    </w:p>
    <w:p>
      <w:pPr/>
      <w:r>
        <w:t>LGTAL offers in-person, live online, self-paced, and blended learning.</w:t>
      </w:r>
    </w:p>
    <w:p>
      <w:pPr>
        <w:pStyle w:val="Heading2"/>
      </w:pPr>
      <w:r>
        <w:t>Institutional policy</w:t>
      </w:r>
    </w:p>
    <w:p>
      <w:pPr>
        <w:pStyle w:val="ListBullet"/>
      </w:pPr>
      <w:r>
        <w:t>Required instructional activities are specified by course.</w:t>
      </w:r>
    </w:p>
    <w:p>
      <w:pPr>
        <w:pStyle w:val="ListBullet"/>
      </w:pPr>
      <w:r>
        <w:t>Recordings may not substitute for live attendance unless explicitly permitted.</w:t>
      </w:r>
    </w:p>
    <w:p>
      <w:pPr>
        <w:pStyle w:val="ListBullet"/>
      </w:pPr>
      <w:r>
        <w:t>Hands-on skills must be assessed using an appropriate approved method.</w:t>
      </w:r>
    </w:p>
    <w:p>
      <w:pPr>
        <w:pStyle w:val="Heading2"/>
      </w:pPr>
      <w:r>
        <w:t>Student procedures</w:t>
      </w:r>
    </w:p>
    <w:p>
      <w:pPr>
        <w:pStyle w:val="ListBullet"/>
      </w:pPr>
      <w:r>
        <w:t>Follow the course schedule and modality instructions.</w:t>
      </w:r>
    </w:p>
    <w:p>
      <w:pPr>
        <w:pStyle w:val="ListBullet"/>
      </w:pPr>
      <w:r>
        <w:t>Complete all asynchronous modules before associated labs when required.</w:t>
      </w:r>
    </w:p>
    <w:p>
      <w:pPr>
        <w:pStyle w:val="ListBullet"/>
      </w:pPr>
      <w:r>
        <w:t>Maintain reliable connectivity or report technical barriers.</w:t>
      </w:r>
    </w:p>
    <w:p>
      <w:pPr>
        <w:pStyle w:val="Heading1"/>
      </w:pPr>
      <w:r>
        <w:t>09. Learning objectives and syllabus</w:t>
      </w:r>
    </w:p>
    <w:p>
      <w:pPr>
        <w:pStyle w:val="Heading2"/>
      </w:pPr>
      <w:r>
        <w:t>Purpose and scope</w:t>
      </w:r>
    </w:p>
    <w:p>
      <w:pPr/>
      <w:r>
        <w:t>Each course must provide measurable learning outcomes.</w:t>
      </w:r>
    </w:p>
    <w:p>
      <w:pPr>
        <w:pStyle w:val="Heading2"/>
      </w:pPr>
      <w:r>
        <w:t>Institutional policy</w:t>
      </w:r>
    </w:p>
    <w:p>
      <w:pPr>
        <w:pStyle w:val="ListBullet"/>
      </w:pPr>
      <w:r>
        <w:t>The syllabus identifies intended audience, level, objectives, contact hours, content, assessments and completion criteria.</w:t>
      </w:r>
    </w:p>
    <w:p>
      <w:pPr>
        <w:pStyle w:val="ListBullet"/>
      </w:pPr>
      <w:r>
        <w:t>Faculty must distinguish evidence, professional opinion, and emerging practices.</w:t>
      </w:r>
    </w:p>
    <w:p>
      <w:pPr>
        <w:pStyle w:val="ListBullet"/>
      </w:pPr>
      <w:r>
        <w:t>Material changes are communicated to learners.</w:t>
      </w:r>
    </w:p>
    <w:p>
      <w:pPr>
        <w:pStyle w:val="Heading2"/>
      </w:pPr>
      <w:r>
        <w:t>Student procedures</w:t>
      </w:r>
    </w:p>
    <w:p>
      <w:pPr>
        <w:pStyle w:val="ListBullet"/>
      </w:pPr>
      <w:r>
        <w:t>Review objectives before each module.</w:t>
      </w:r>
    </w:p>
    <w:p>
      <w:pPr>
        <w:pStyle w:val="ListBullet"/>
      </w:pPr>
      <w:r>
        <w:t>Use assigned references and learning aids.</w:t>
      </w:r>
    </w:p>
    <w:p>
      <w:pPr>
        <w:pStyle w:val="ListBullet"/>
      </w:pPr>
      <w:r>
        <w:t>Ask for clarification about expected competence.</w:t>
      </w:r>
    </w:p>
    <w:p>
      <w:r>
        <w:br w:type="page"/>
      </w:r>
    </w:p>
    <w:p>
      <w:pPr>
        <w:pStyle w:val="Heading1"/>
      </w:pPr>
      <w:r>
        <w:t>10. LMS access and digital conduct</w:t>
      </w:r>
    </w:p>
    <w:p>
      <w:pPr>
        <w:pStyle w:val="Heading2"/>
      </w:pPr>
      <w:r>
        <w:t>Purpose and scope</w:t>
      </w:r>
    </w:p>
    <w:p>
      <w:pPr/>
      <w:r>
        <w:t>Digital platforms support instructional integrity and accessibility.</w:t>
      </w:r>
    </w:p>
    <w:p>
      <w:pPr>
        <w:pStyle w:val="Heading2"/>
      </w:pPr>
      <w:r>
        <w:t>Institutional policy</w:t>
      </w:r>
    </w:p>
    <w:p>
      <w:pPr>
        <w:pStyle w:val="ListBullet"/>
      </w:pPr>
      <w:r>
        <w:t>Access credentials are individual and may not be shared.</w:t>
      </w:r>
    </w:p>
    <w:p>
      <w:pPr>
        <w:pStyle w:val="ListBullet"/>
      </w:pPr>
      <w:r>
        <w:t>Students must not record or redistribute sessions without authorization.</w:t>
      </w:r>
    </w:p>
    <w:p>
      <w:pPr>
        <w:pStyle w:val="ListBullet"/>
      </w:pPr>
      <w:r>
        <w:t>Discussion boards are professional educational spaces.</w:t>
      </w:r>
    </w:p>
    <w:p>
      <w:pPr>
        <w:pStyle w:val="Heading2"/>
      </w:pPr>
      <w:r>
        <w:t>Student procedures</w:t>
      </w:r>
    </w:p>
    <w:p>
      <w:pPr>
        <w:pStyle w:val="ListBullet"/>
      </w:pPr>
      <w:r>
        <w:t>Use a secure device and password.</w:t>
      </w:r>
    </w:p>
    <w:p>
      <w:pPr>
        <w:pStyle w:val="ListBullet"/>
      </w:pPr>
      <w:r>
        <w:t>Report access problems with screenshots excluding patient data.</w:t>
      </w:r>
    </w:p>
    <w:p>
      <w:pPr>
        <w:pStyle w:val="ListBullet"/>
      </w:pPr>
      <w:r>
        <w:t>Log out from shared devices.</w:t>
      </w:r>
    </w:p>
    <w:p>
      <w:pPr>
        <w:pStyle w:val="Heading1"/>
      </w:pPr>
      <w:r>
        <w:t>11. Attendance and participation</w:t>
      </w:r>
    </w:p>
    <w:p>
      <w:pPr>
        <w:pStyle w:val="Heading2"/>
      </w:pPr>
      <w:r>
        <w:t>Purpose and scope</w:t>
      </w:r>
    </w:p>
    <w:p>
      <w:pPr/>
      <w:r>
        <w:t>Attendance must reflect genuine instructional engagement.</w:t>
      </w:r>
    </w:p>
    <w:p>
      <w:pPr>
        <w:pStyle w:val="Heading2"/>
      </w:pPr>
      <w:r>
        <w:t>Institutional policy</w:t>
      </w:r>
    </w:p>
    <w:p>
      <w:pPr>
        <w:pStyle w:val="ListBullet"/>
      </w:pPr>
      <w:r>
        <w:t>In-person attendance may use sign-in and sign-out records.</w:t>
      </w:r>
    </w:p>
    <w:p>
      <w:pPr>
        <w:pStyle w:val="ListBullet"/>
      </w:pPr>
      <w:r>
        <w:t>Live online attendance may use session logs, polls and interactive checks.</w:t>
      </w:r>
    </w:p>
    <w:p>
      <w:pPr>
        <w:pStyle w:val="ListBullet"/>
      </w:pPr>
      <w:r>
        <w:t>Self-paced completion is verified by module and assessment records.</w:t>
      </w:r>
    </w:p>
    <w:p>
      <w:pPr>
        <w:pStyle w:val="ListBullet"/>
      </w:pPr>
      <w:r>
        <w:t>Breaks and noninstructional time are excluded from contact hours.</w:t>
      </w:r>
    </w:p>
    <w:p>
      <w:pPr>
        <w:pStyle w:val="Heading2"/>
      </w:pPr>
      <w:r>
        <w:t>Student procedures</w:t>
      </w:r>
    </w:p>
    <w:p>
      <w:pPr>
        <w:pStyle w:val="ListBullet"/>
      </w:pPr>
      <w:r>
        <w:t>Check attendance records before the course closes.</w:t>
      </w:r>
    </w:p>
    <w:p>
      <w:pPr>
        <w:pStyle w:val="ListBullet"/>
      </w:pPr>
      <w:r>
        <w:t>Notify faculty promptly about unavoidable absences.</w:t>
      </w:r>
    </w:p>
    <w:p>
      <w:pPr>
        <w:pStyle w:val="ListBullet"/>
      </w:pPr>
      <w:r>
        <w:t>Complete approved make-up work if offered by the syllabus.</w:t>
      </w:r>
    </w:p>
    <w:p>
      <w:pPr>
        <w:pStyle w:val="Heading1"/>
      </w:pPr>
      <w:r>
        <w:t>12. Leave, deferral and withdrawal</w:t>
      </w:r>
    </w:p>
    <w:p>
      <w:pPr>
        <w:pStyle w:val="Heading2"/>
      </w:pPr>
      <w:r>
        <w:t>Purpose and scope</w:t>
      </w:r>
    </w:p>
    <w:p>
      <w:pPr/>
      <w:r>
        <w:t>Students may face unavoidable changes in circumstances.</w:t>
      </w:r>
    </w:p>
    <w:p>
      <w:pPr>
        <w:pStyle w:val="Heading2"/>
      </w:pPr>
      <w:r>
        <w:t>Institutional policy</w:t>
      </w:r>
    </w:p>
    <w:p>
      <w:pPr>
        <w:pStyle w:val="ListBullet"/>
      </w:pPr>
      <w:r>
        <w:t>Deferral and withdrawal are subject to published enrollment terms.</w:t>
      </w:r>
    </w:p>
    <w:p>
      <w:pPr>
        <w:pStyle w:val="ListBullet"/>
      </w:pPr>
      <w:r>
        <w:t>A deferral is not automatic and may depend on available cohorts and competency recency.</w:t>
      </w:r>
    </w:p>
    <w:p>
      <w:pPr>
        <w:pStyle w:val="ListBullet"/>
      </w:pPr>
      <w:r>
        <w:t>Academy-initiated cancellations are handled under the refund policy.</w:t>
      </w:r>
    </w:p>
    <w:p>
      <w:pPr>
        <w:pStyle w:val="Heading2"/>
      </w:pPr>
      <w:r>
        <w:t>Student procedures</w:t>
      </w:r>
    </w:p>
    <w:p>
      <w:pPr>
        <w:pStyle w:val="ListBullet"/>
      </w:pPr>
      <w:r>
        <w:t>Submit a dated written request stating course, reason and preferred outcome.</w:t>
      </w:r>
    </w:p>
    <w:p>
      <w:pPr>
        <w:pStyle w:val="ListBullet"/>
      </w:pPr>
      <w:r>
        <w:t>Request a written decision and any financial implications.</w:t>
      </w:r>
    </w:p>
    <w:p>
      <w:pPr>
        <w:pStyle w:val="ListBullet"/>
      </w:pPr>
      <w:r>
        <w:t>Keep evidence of approved transfer or deferral.</w:t>
      </w:r>
    </w:p>
    <w:p>
      <w:r>
        <w:br w:type="page"/>
      </w:r>
    </w:p>
    <w:p>
      <w:pPr>
        <w:pStyle w:val="Heading1"/>
      </w:pPr>
      <w:r>
        <w:t>13. Tuition disclosure</w:t>
      </w:r>
    </w:p>
    <w:p>
      <w:pPr>
        <w:pStyle w:val="Heading2"/>
      </w:pPr>
      <w:r>
        <w:t>Operational guidance</w:t>
      </w:r>
    </w:p>
    <w:p>
      <w:r>
        <w:t>Before payment, the enrollment disclosure must itemize base tuition, taxes, materials, laboratory kits, examination fees, certificate charges, optional supplies and any nonrefundable amount. Currency, payment processor, installment schedule and any exchange-rate treatment must be shown on the individual enrollment agreement.</w:t>
      </w:r>
    </w:p>
    <w:p>
      <w:r>
        <w:t>No learner should infer that a publicly advertised price includes professional licensing, registration, travel, lodging or external examination fees unless expressly stated.</w:t>
      </w:r>
    </w:p>
    <w:p>
      <w:pPr>
        <w:pStyle w:val="Heading2"/>
      </w:pPr>
      <w:r>
        <w:t>Purpose and scope</w:t>
      </w:r>
    </w:p>
    <w:p>
      <w:pPr/>
      <w:r>
        <w:t>Financial terms must be clear before commitment.</w:t>
      </w:r>
    </w:p>
    <w:p>
      <w:pPr>
        <w:pStyle w:val="Heading2"/>
      </w:pPr>
      <w:r>
        <w:t>Institutional policy</w:t>
      </w:r>
    </w:p>
    <w:p>
      <w:pPr>
        <w:pStyle w:val="ListBullet"/>
      </w:pPr>
      <w:r>
        <w:t>The enrollment offer should itemize tuition, taxes, lab kits, examination charges, shipping and other required fees.</w:t>
      </w:r>
    </w:p>
    <w:p>
      <w:pPr>
        <w:pStyle w:val="ListBullet"/>
      </w:pPr>
      <w:r>
        <w:t>Scholarships, installment plans and promotional offers must have written conditions.</w:t>
      </w:r>
    </w:p>
    <w:p>
      <w:pPr>
        <w:pStyle w:val="ListBullet"/>
      </w:pPr>
      <w:r>
        <w:t>Currency and payment processor charges should be disclosed.</w:t>
      </w:r>
    </w:p>
    <w:p>
      <w:pPr>
        <w:pStyle w:val="Heading2"/>
      </w:pPr>
      <w:r>
        <w:t>Student procedures</w:t>
      </w:r>
    </w:p>
    <w:p>
      <w:pPr>
        <w:pStyle w:val="ListBullet"/>
      </w:pPr>
      <w:r>
        <w:t>Review the total price and payment schedule before paying.</w:t>
      </w:r>
    </w:p>
    <w:p>
      <w:pPr>
        <w:pStyle w:val="ListBullet"/>
      </w:pPr>
      <w:r>
        <w:t>Retain receipts and invoices.</w:t>
      </w:r>
    </w:p>
    <w:p>
      <w:pPr>
        <w:pStyle w:val="ListBullet"/>
      </w:pPr>
      <w:r>
        <w:t>Report billing discrepancies promptly.</w:t>
      </w:r>
    </w:p>
    <w:p>
      <w:pPr>
        <w:pStyle w:val="Heading2"/>
      </w:pPr>
      <w:r>
        <w:t>Implementation and records</w:t>
      </w:r>
    </w:p>
    <w:p>
      <w:pPr/>
      <w:r>
        <w:t>Proposed template: Total tuition ____; deposit ____; balance ____; due dates ____; currency ____; taxes/fees ____.</w:t>
      </w:r>
    </w:p>
    <w:p>
      <w:pPr>
        <w:pStyle w:val="Heading1"/>
      </w:pPr>
      <w:r>
        <w:t>14. Payment plans and delinquency</w:t>
      </w:r>
    </w:p>
    <w:p>
      <w:pPr>
        <w:pStyle w:val="Heading2"/>
      </w:pPr>
      <w:r>
        <w:t>Purpose and scope</w:t>
      </w:r>
    </w:p>
    <w:p>
      <w:pPr/>
      <w:r>
        <w:t>Payment arrangements should be fair and documented.</w:t>
      </w:r>
    </w:p>
    <w:p>
      <w:pPr>
        <w:pStyle w:val="Heading2"/>
      </w:pPr>
      <w:r>
        <w:t>Institutional policy</w:t>
      </w:r>
    </w:p>
    <w:p>
      <w:pPr>
        <w:pStyle w:val="ListBullet"/>
      </w:pPr>
      <w:r>
        <w:t>An approved installment plan states due dates and consequences of missed payments.</w:t>
      </w:r>
    </w:p>
    <w:p>
      <w:pPr>
        <w:pStyle w:val="ListBullet"/>
      </w:pPr>
      <w:r>
        <w:t>Administrative holds may affect future enrollment or certificate release only when lawful and disclosed.</w:t>
      </w:r>
    </w:p>
    <w:p>
      <w:pPr>
        <w:pStyle w:val="ListBullet"/>
      </w:pPr>
      <w:r>
        <w:t>Students should be offered a billing dispute channel.</w:t>
      </w:r>
    </w:p>
    <w:p>
      <w:pPr>
        <w:pStyle w:val="Heading2"/>
      </w:pPr>
      <w:r>
        <w:t>Student procedures</w:t>
      </w:r>
    </w:p>
    <w:p>
      <w:pPr>
        <w:pStyle w:val="ListBullet"/>
      </w:pPr>
      <w:r>
        <w:t>Contact billing before a missed installment.</w:t>
      </w:r>
    </w:p>
    <w:p>
      <w:pPr>
        <w:pStyle w:val="ListBullet"/>
      </w:pPr>
      <w:r>
        <w:t>Request revised terms in writing rather than assuming an extension.</w:t>
      </w:r>
    </w:p>
    <w:p>
      <w:pPr>
        <w:pStyle w:val="ListBullet"/>
      </w:pPr>
      <w:r>
        <w:t>Preserve all payment confirmations.</w:t>
      </w:r>
    </w:p>
    <w:p>
      <w:pPr>
        <w:pStyle w:val="Heading2"/>
      </w:pPr>
      <w:r>
        <w:t>Implementation and records</w:t>
      </w:r>
    </w:p>
    <w:p>
      <w:pPr/>
      <w:r>
        <w:t>No late fee, interest rate, collection practice or hold is adopted by this draft without management and legal review.</w:t>
      </w:r>
    </w:p>
    <w:p>
      <w:pPr>
        <w:pStyle w:val="Heading1"/>
      </w:pPr>
      <w:r>
        <w:t>15. Refunds and cancellations</w:t>
      </w:r>
    </w:p>
    <w:p>
      <w:pPr>
        <w:pStyle w:val="Heading2"/>
      </w:pPr>
      <w:r>
        <w:t>Operational guidance</w:t>
      </w:r>
    </w:p>
    <w:p>
      <w:r>
        <w:t>The controlling refund schedule is the one furnished in writing before purchase. The Academy should identify the date a cancellation is received, whether learning access has begun, whether physical materials were shipped and any statutory cooling-off or consumer rights that apply.</w:t>
      </w:r>
    </w:p>
    <w:p>
      <w:r>
        <w:t>For Academy cancellation before delivery, students should receive a written explanation and a choice of an appropriate refund or an expressly accepted transfer. Refund disputes may be escalated under the grievance procedure. Do not apply a newly revised schedule retroactively to a completed enrollment.</w:t>
      </w:r>
    </w:p>
    <w:p>
      <w:pPr>
        <w:pStyle w:val="Heading2"/>
      </w:pPr>
      <w:r>
        <w:t>Purpose and scope</w:t>
      </w:r>
    </w:p>
    <w:p>
      <w:pPr/>
      <w:r>
        <w:t>Refund rules must be published in advance and comply with applicable consumer law.</w:t>
      </w:r>
    </w:p>
    <w:p>
      <w:pPr>
        <w:pStyle w:val="Heading2"/>
      </w:pPr>
      <w:r>
        <w:t>Institutional policy</w:t>
      </w:r>
    </w:p>
    <w:p>
      <w:pPr>
        <w:pStyle w:val="ListBullet"/>
      </w:pPr>
      <w:r>
        <w:t>A course-specific refund schedule must state cancellation cutoffs, deposit treatment, nonrefundable items and refund method.</w:t>
      </w:r>
    </w:p>
    <w:p>
      <w:pPr>
        <w:pStyle w:val="ListBullet"/>
      </w:pPr>
      <w:r>
        <w:t>If LGTAL cancels a course, learners should be offered a refund or an informed choice of transfer, subject to law.</w:t>
      </w:r>
    </w:p>
    <w:p>
      <w:pPr>
        <w:pStyle w:val="ListBullet"/>
      </w:pPr>
      <w:r>
        <w:t>Digital access and consumed instructional services require clearly disclosed treatment.</w:t>
      </w:r>
    </w:p>
    <w:p>
      <w:pPr>
        <w:pStyle w:val="Heading2"/>
      </w:pPr>
      <w:r>
        <w:t>Student procedures</w:t>
      </w:r>
    </w:p>
    <w:p>
      <w:pPr>
        <w:pStyle w:val="ListBullet"/>
      </w:pPr>
      <w:r>
        <w:t>Submit refund requests in writing with receipt and enrollment details.</w:t>
      </w:r>
    </w:p>
    <w:p>
      <w:pPr>
        <w:pStyle w:val="ListBullet"/>
      </w:pPr>
      <w:r>
        <w:t>Identify whether any materials or instructional sessions were accessed.</w:t>
      </w:r>
    </w:p>
    <w:p>
      <w:pPr>
        <w:pStyle w:val="ListBullet"/>
      </w:pPr>
      <w:r>
        <w:t>Request a written calculation and expected processing timeframe.</w:t>
      </w:r>
    </w:p>
    <w:p>
      <w:pPr>
        <w:pStyle w:val="Heading2"/>
      </w:pPr>
      <w:r>
        <w:t>Implementation and records</w:t>
      </w:r>
    </w:p>
    <w:p>
      <w:pPr/>
      <w:r>
        <w:t>PROPOSED FOR APPROVAL ONLY: Full refund if LGTAL cancels; student withdrawal refund schedule to be approved per jurisdiction before publication. Do not apply an invented percentage or deadline.</w:t>
      </w:r>
    </w:p>
    <w:p>
      <w:r>
        <w:br w:type="page"/>
      </w:r>
    </w:p>
    <w:p>
      <w:pPr>
        <w:pStyle w:val="Heading1"/>
      </w:pPr>
      <w:r>
        <w:t>16. Scholarships and global access</w:t>
      </w:r>
    </w:p>
    <w:p>
      <w:pPr>
        <w:pStyle w:val="Heading2"/>
      </w:pPr>
      <w:r>
        <w:t>Purpose and scope</w:t>
      </w:r>
    </w:p>
    <w:p>
      <w:pPr/>
      <w:r>
        <w:t>Reduced-cost access may support equitable professional education.</w:t>
      </w:r>
    </w:p>
    <w:p>
      <w:pPr>
        <w:pStyle w:val="Heading2"/>
      </w:pPr>
      <w:r>
        <w:t>Institutional policy</w:t>
      </w:r>
    </w:p>
    <w:p>
      <w:pPr>
        <w:pStyle w:val="ListBullet"/>
      </w:pPr>
      <w:r>
        <w:t>Awards depend on published eligibility, availability and funding.</w:t>
      </w:r>
    </w:p>
    <w:p>
      <w:pPr>
        <w:pStyle w:val="ListBullet"/>
      </w:pPr>
      <w:r>
        <w:t>Scholarship conditions must not imply guaranteed professional certification.</w:t>
      </w:r>
    </w:p>
    <w:p>
      <w:pPr>
        <w:pStyle w:val="ListBullet"/>
      </w:pPr>
      <w:r>
        <w:t>Personal financial data must be handled discreetly.</w:t>
      </w:r>
    </w:p>
    <w:p>
      <w:pPr>
        <w:pStyle w:val="Heading2"/>
      </w:pPr>
      <w:r>
        <w:t>Student procedures</w:t>
      </w:r>
    </w:p>
    <w:p>
      <w:pPr>
        <w:pStyle w:val="ListBullet"/>
      </w:pPr>
      <w:r>
        <w:t>Apply through the designated form.</w:t>
      </w:r>
    </w:p>
    <w:p>
      <w:pPr>
        <w:pStyle w:val="ListBullet"/>
      </w:pPr>
      <w:r>
        <w:t>Submit only necessary supporting information.</w:t>
      </w:r>
    </w:p>
    <w:p>
      <w:pPr>
        <w:pStyle w:val="ListBullet"/>
      </w:pPr>
      <w:r>
        <w:t>Review written award terms, expiry and any service requirements.</w:t>
      </w:r>
    </w:p>
    <w:p>
      <w:pPr>
        <w:pStyle w:val="Heading1"/>
      </w:pPr>
      <w:r>
        <w:t>17. Financial disputes</w:t>
      </w:r>
    </w:p>
    <w:p>
      <w:pPr>
        <w:pStyle w:val="Heading2"/>
      </w:pPr>
      <w:r>
        <w:t>Purpose and scope</w:t>
      </w:r>
    </w:p>
    <w:p>
      <w:pPr/>
      <w:r>
        <w:t>Students need a route to challenge charges.</w:t>
      </w:r>
    </w:p>
    <w:p>
      <w:pPr>
        <w:pStyle w:val="Heading2"/>
      </w:pPr>
      <w:r>
        <w:t>Institutional policy</w:t>
      </w:r>
    </w:p>
    <w:p>
      <w:pPr>
        <w:pStyle w:val="ListBullet"/>
      </w:pPr>
      <w:r>
        <w:t>Billing disputes are reviewed separately from academic grading.</w:t>
      </w:r>
    </w:p>
    <w:p>
      <w:pPr>
        <w:pStyle w:val="ListBullet"/>
      </w:pPr>
      <w:r>
        <w:t>No retaliation for good-faith complaints.</w:t>
      </w:r>
    </w:p>
    <w:p>
      <w:pPr>
        <w:pStyle w:val="ListBullet"/>
      </w:pPr>
      <w:r>
        <w:t>Applicable consumer rights remain intact.</w:t>
      </w:r>
    </w:p>
    <w:p>
      <w:pPr>
        <w:pStyle w:val="Heading2"/>
      </w:pPr>
      <w:r>
        <w:t>Student procedures</w:t>
      </w:r>
    </w:p>
    <w:p>
      <w:pPr>
        <w:pStyle w:val="ListBullet"/>
      </w:pPr>
      <w:r>
        <w:t>Provide invoice, receipt and disputed amount.</w:t>
      </w:r>
    </w:p>
    <w:p>
      <w:pPr>
        <w:pStyle w:val="ListBullet"/>
      </w:pPr>
      <w:r>
        <w:t>State the requested correction.</w:t>
      </w:r>
    </w:p>
    <w:p>
      <w:pPr>
        <w:pStyle w:val="ListBullet"/>
      </w:pPr>
      <w:r>
        <w:t>Escalate unresolved issues through the grievance procedure.</w:t>
      </w:r>
    </w:p>
    <w:p>
      <w:pPr>
        <w:pStyle w:val="Heading1"/>
      </w:pPr>
      <w:r>
        <w:t>18. Academic integrity</w:t>
      </w:r>
    </w:p>
    <w:p>
      <w:pPr>
        <w:pStyle w:val="Heading2"/>
      </w:pPr>
      <w:r>
        <w:t>Purpose and scope</w:t>
      </w:r>
    </w:p>
    <w:p>
      <w:pPr/>
      <w:r>
        <w:t>Assessment results must reflect the learner’s own work.</w:t>
      </w:r>
    </w:p>
    <w:p>
      <w:pPr>
        <w:pStyle w:val="Heading2"/>
      </w:pPr>
      <w:r>
        <w:t>Institutional policy</w:t>
      </w:r>
    </w:p>
    <w:p>
      <w:pPr>
        <w:pStyle w:val="ListBullet"/>
      </w:pPr>
      <w:r>
        <w:t>Cheating, plagiarism, impersonation, falsified attendance and unauthorized answer sharing are prohibited.</w:t>
      </w:r>
    </w:p>
    <w:p>
      <w:pPr>
        <w:pStyle w:val="ListBullet"/>
      </w:pPr>
      <w:r>
        <w:t>Use of AI assistance must follow assignment-specific instructions and be disclosed when required.</w:t>
      </w:r>
    </w:p>
    <w:p>
      <w:pPr>
        <w:pStyle w:val="ListBullet"/>
      </w:pPr>
      <w:r>
        <w:t>Allegations receive a documented opportunity to respond.</w:t>
      </w:r>
    </w:p>
    <w:p>
      <w:pPr>
        <w:pStyle w:val="Heading2"/>
      </w:pPr>
      <w:r>
        <w:t>Student procedures</w:t>
      </w:r>
    </w:p>
    <w:p>
      <w:pPr>
        <w:pStyle w:val="ListBullet"/>
      </w:pPr>
      <w:r>
        <w:t>Cite sources and label collaborative contributions.</w:t>
      </w:r>
    </w:p>
    <w:p>
      <w:pPr>
        <w:pStyle w:val="ListBullet"/>
      </w:pPr>
      <w:r>
        <w:t>Ask faculty whether AI tools or outside references are allowed.</w:t>
      </w:r>
    </w:p>
    <w:p>
      <w:pPr>
        <w:pStyle w:val="ListBullet"/>
      </w:pPr>
      <w:r>
        <w:t>Respond to misconduct notices within the stated period.</w:t>
      </w:r>
    </w:p>
    <w:p>
      <w:r>
        <w:br w:type="page"/>
      </w:r>
    </w:p>
    <w:p>
      <w:pPr>
        <w:pStyle w:val="Heading1"/>
      </w:pPr>
      <w:r>
        <w:t>19. Assessment design</w:t>
      </w:r>
    </w:p>
    <w:p>
      <w:pPr>
        <w:pStyle w:val="Heading2"/>
      </w:pPr>
      <w:r>
        <w:t>Purpose and scope</w:t>
      </w:r>
    </w:p>
    <w:p>
      <w:pPr/>
      <w:r>
        <w:t>Assessment methods should align with stated outcomes.</w:t>
      </w:r>
    </w:p>
    <w:p>
      <w:pPr>
        <w:pStyle w:val="Heading2"/>
      </w:pPr>
      <w:r>
        <w:t>Institutional policy</w:t>
      </w:r>
    </w:p>
    <w:p>
      <w:pPr>
        <w:pStyle w:val="ListBullet"/>
      </w:pPr>
      <w:r>
        <w:t>Courses may use quizzes, cases, written examinations, OSCEs, practical rubrics, reflections and demonstrations.</w:t>
      </w:r>
    </w:p>
    <w:p>
      <w:pPr>
        <w:pStyle w:val="ListBullet"/>
      </w:pPr>
      <w:r>
        <w:t>Passing thresholds and attempts must be announced before testing.</w:t>
      </w:r>
    </w:p>
    <w:p>
      <w:pPr>
        <w:pStyle w:val="ListBullet"/>
      </w:pPr>
      <w:r>
        <w:t>Reasonable accommodations do not waive essential safety competencies.</w:t>
      </w:r>
    </w:p>
    <w:p>
      <w:pPr>
        <w:pStyle w:val="Heading2"/>
      </w:pPr>
      <w:r>
        <w:t>Student procedures</w:t>
      </w:r>
    </w:p>
    <w:p>
      <w:pPr>
        <w:pStyle w:val="ListBullet"/>
      </w:pPr>
      <w:r>
        <w:t>Review the course-specific rubric.</w:t>
      </w:r>
    </w:p>
    <w:p>
      <w:pPr>
        <w:pStyle w:val="ListBullet"/>
      </w:pPr>
      <w:r>
        <w:t>Complete required assessments within the published window.</w:t>
      </w:r>
    </w:p>
    <w:p>
      <w:pPr>
        <w:pStyle w:val="ListBullet"/>
      </w:pPr>
      <w:r>
        <w:t>Request clarification about scoring without seeking confidential answer keys.</w:t>
      </w:r>
    </w:p>
    <w:p>
      <w:pPr>
        <w:pStyle w:val="Heading1"/>
      </w:pPr>
      <w:r>
        <w:t>20. Written examination administration</w:t>
      </w:r>
    </w:p>
    <w:p>
      <w:pPr>
        <w:pStyle w:val="Heading2"/>
      </w:pPr>
      <w:r>
        <w:t>Operational guidance</w:t>
      </w:r>
    </w:p>
    <w:p>
      <w:r>
        <w:t>Before an exam, students receive the format, permitted resources, passing standard, time limit, retake allowance, proctoring and identity-check requirements. These are course-specific rather than a single Academy-wide score.</w:t>
      </w:r>
    </w:p>
    <w:p>
      <w:r>
        <w:t>Suspected examination irregularities are documented and reviewed with an opportunity for the learner to respond before a final academic decision.</w:t>
      </w:r>
    </w:p>
    <w:p>
      <w:pPr>
        <w:pStyle w:val="Heading2"/>
      </w:pPr>
      <w:r>
        <w:t>Purpose and scope</w:t>
      </w:r>
    </w:p>
    <w:p>
      <w:pPr/>
      <w:r>
        <w:t>Secure testing protects fairness and certificate integrity.</w:t>
      </w:r>
    </w:p>
    <w:p>
      <w:pPr>
        <w:pStyle w:val="Heading2"/>
      </w:pPr>
      <w:r>
        <w:t>Institutional policy</w:t>
      </w:r>
    </w:p>
    <w:p>
      <w:pPr>
        <w:pStyle w:val="ListBullet"/>
      </w:pPr>
      <w:r>
        <w:t>Examination instructions must define time limits, permitted resources, identity checks and retake rules.</w:t>
      </w:r>
    </w:p>
    <w:p>
      <w:pPr>
        <w:pStyle w:val="ListBullet"/>
      </w:pPr>
      <w:r>
        <w:t>Suspected technical failures should be documented.</w:t>
      </w:r>
    </w:p>
    <w:p>
      <w:pPr>
        <w:pStyle w:val="ListBullet"/>
      </w:pPr>
      <w:r>
        <w:t>No single passing score is established across all LGTAL courses.</w:t>
      </w:r>
    </w:p>
    <w:p>
      <w:pPr>
        <w:pStyle w:val="Heading2"/>
      </w:pPr>
      <w:r>
        <w:t>Student procedures</w:t>
      </w:r>
    </w:p>
    <w:p>
      <w:pPr>
        <w:pStyle w:val="ListBullet"/>
      </w:pPr>
      <w:r>
        <w:t>Verify connectivity and equipment before testing.</w:t>
      </w:r>
    </w:p>
    <w:p>
      <w:pPr>
        <w:pStyle w:val="ListBullet"/>
      </w:pPr>
      <w:r>
        <w:t>Follow proctoring instructions if applicable.</w:t>
      </w:r>
    </w:p>
    <w:p>
      <w:pPr>
        <w:pStyle w:val="ListBullet"/>
      </w:pPr>
      <w:r>
        <w:t>Report interruptions immediately and avoid restarting without guidance.</w:t>
      </w:r>
    </w:p>
    <w:p>
      <w:pPr>
        <w:pStyle w:val="Heading1"/>
      </w:pPr>
      <w:r>
        <w:t>21. Practical competency standards</w:t>
      </w:r>
    </w:p>
    <w:p>
      <w:pPr>
        <w:pStyle w:val="Heading2"/>
      </w:pPr>
      <w:r>
        <w:t>Operational guidance</w:t>
      </w:r>
    </w:p>
    <w:p>
      <w:r>
        <w:t>Practical assessment must separately observe consent, infection prevention, red-flag screening, safe patient positioning, appropriate technique, clinical reasoning, communication and documentation. A critical safety failure cannot be offset by strong performance in unrelated categories.</w:t>
      </w:r>
    </w:p>
    <w:p>
      <w:r>
        <w:t>Instructors document direct observation using a dated checklist and identify skills requiring supervised repetition. Completion of a workshop does not authorize independent practice beyond the student’s license or local scope.</w:t>
      </w:r>
    </w:p>
    <w:p>
      <w:pPr>
        <w:pStyle w:val="Heading2"/>
      </w:pPr>
      <w:r>
        <w:t>Purpose and scope</w:t>
      </w:r>
    </w:p>
    <w:p>
      <w:pPr/>
      <w:r>
        <w:t>Hands-on lymphatic techniques require observed safety and clinical reasoning.</w:t>
      </w:r>
    </w:p>
    <w:p>
      <w:pPr>
        <w:pStyle w:val="Heading2"/>
      </w:pPr>
      <w:r>
        <w:t>Institutional policy</w:t>
      </w:r>
    </w:p>
    <w:p>
      <w:pPr>
        <w:pStyle w:val="ListBullet"/>
      </w:pPr>
      <w:r>
        <w:t>Skills may include assessment, contraindication screening, MLD sequence reasoning, compression application, skin care, exercise and patient education.</w:t>
      </w:r>
    </w:p>
    <w:p>
      <w:pPr>
        <w:pStyle w:val="ListBullet"/>
      </w:pPr>
      <w:r>
        <w:t>A critical safety error may require immediate cessation and remediation.</w:t>
      </w:r>
    </w:p>
    <w:p>
      <w:pPr>
        <w:pStyle w:val="ListBullet"/>
      </w:pPr>
      <w:r>
        <w:t>Competence is assessed against published rubrics, not attendance alone.</w:t>
      </w:r>
    </w:p>
    <w:p>
      <w:pPr>
        <w:pStyle w:val="Heading2"/>
      </w:pPr>
      <w:r>
        <w:t>Student procedures</w:t>
      </w:r>
    </w:p>
    <w:p>
      <w:pPr>
        <w:pStyle w:val="ListBullet"/>
      </w:pPr>
      <w:r>
        <w:t>Review the station checklist before lab.</w:t>
      </w:r>
    </w:p>
    <w:p>
      <w:pPr>
        <w:pStyle w:val="ListBullet"/>
      </w:pPr>
      <w:r>
        <w:t>Obtain informed consent from practice partners.</w:t>
      </w:r>
    </w:p>
    <w:p>
      <w:pPr>
        <w:pStyle w:val="ListBullet"/>
      </w:pPr>
      <w:r>
        <w:t>Stop and seek faculty help when an intervention appears unsafe.</w:t>
      </w:r>
    </w:p>
    <w:p>
      <w:pPr>
        <w:pStyle w:val="Heading2"/>
      </w:pPr>
      <w:r>
        <w:t>Implementation and records</w:t>
      </w:r>
    </w:p>
    <w:p>
      <w:pPr/>
      <w:r>
        <w:t>Course-specific competency checklists must define observable steps, critical errors and pass criteria.</w:t>
      </w:r>
    </w:p>
    <w:p>
      <w:r>
        <w:br w:type="page"/>
      </w:r>
    </w:p>
    <w:p>
      <w:pPr>
        <w:pStyle w:val="Heading1"/>
      </w:pPr>
      <w:r>
        <w:t>22. Clinical safety and contraindications</w:t>
      </w:r>
    </w:p>
    <w:p>
      <w:pPr>
        <w:pStyle w:val="Heading2"/>
      </w:pPr>
      <w:r>
        <w:t>Operational guidance</w:t>
      </w:r>
    </w:p>
    <w:p>
      <w:r>
        <w:t>Students must stop a procedure and notify faculty when a patient or simulation participant develops unexpected pain, shortness of breath, dizziness, acute inflammatory changes or other concerning symptoms. Suspected acute medical conditions require appropriate urgent referral, not continued laboratory treatment.</w:t>
      </w:r>
    </w:p>
    <w:p>
      <w:r>
        <w:t>Practical demonstrations require consent, privacy, appropriate draping, equipment checks and compliance with the site’s infection-prevention rules.</w:t>
      </w:r>
    </w:p>
    <w:p>
      <w:pPr>
        <w:pStyle w:val="Heading2"/>
      </w:pPr>
      <w:r>
        <w:t>Purpose and scope</w:t>
      </w:r>
    </w:p>
    <w:p>
      <w:pPr/>
      <w:r>
        <w:t>Clinical teaching must prioritize participant and patient safety.</w:t>
      </w:r>
    </w:p>
    <w:p>
      <w:pPr>
        <w:pStyle w:val="Heading2"/>
      </w:pPr>
      <w:r>
        <w:t>Institutional policy</w:t>
      </w:r>
    </w:p>
    <w:p>
      <w:pPr>
        <w:pStyle w:val="ListBullet"/>
      </w:pPr>
      <w:r>
        <w:t>Screen for contraindications and precautions before any demonstration.</w:t>
      </w:r>
    </w:p>
    <w:p>
      <w:pPr>
        <w:pStyle w:val="ListBullet"/>
      </w:pPr>
      <w:r>
        <w:t>Instructors must supervise higher-risk interventions and equipment.</w:t>
      </w:r>
    </w:p>
    <w:p>
      <w:pPr>
        <w:pStyle w:val="ListBullet"/>
      </w:pPr>
      <w:r>
        <w:t>Students may not treat real patients without authorized supervision, consent and scope compliance.</w:t>
      </w:r>
    </w:p>
    <w:p>
      <w:pPr>
        <w:pStyle w:val="Heading2"/>
      </w:pPr>
      <w:r>
        <w:t>Student procedures</w:t>
      </w:r>
    </w:p>
    <w:p>
      <w:pPr>
        <w:pStyle w:val="ListBullet"/>
      </w:pPr>
      <w:r>
        <w:t>Complete safety briefing and screening forms.</w:t>
      </w:r>
    </w:p>
    <w:p>
      <w:pPr>
        <w:pStyle w:val="ListBullet"/>
      </w:pPr>
      <w:r>
        <w:t>Use hand hygiene and infection prevention procedures.</w:t>
      </w:r>
    </w:p>
    <w:p>
      <w:pPr>
        <w:pStyle w:val="ListBullet"/>
      </w:pPr>
      <w:r>
        <w:t>Report adverse events or near misses immediately.</w:t>
      </w:r>
    </w:p>
    <w:p>
      <w:pPr>
        <w:pStyle w:val="Heading1"/>
      </w:pPr>
      <w:r>
        <w:t>23. Manual lymphatic drainage laboratory</w:t>
      </w:r>
    </w:p>
    <w:p>
      <w:pPr>
        <w:pStyle w:val="Heading2"/>
      </w:pPr>
      <w:r>
        <w:t>Purpose and scope</w:t>
      </w:r>
    </w:p>
    <w:p>
      <w:pPr/>
      <w:r>
        <w:t>MLD teaching must be supervised and appropriately contextualized.</w:t>
      </w:r>
    </w:p>
    <w:p>
      <w:pPr>
        <w:pStyle w:val="Heading2"/>
      </w:pPr>
      <w:r>
        <w:t>Institutional policy</w:t>
      </w:r>
    </w:p>
    <w:p>
      <w:pPr>
        <w:pStyle w:val="ListBullet"/>
      </w:pPr>
      <w:r>
        <w:t>Practice must respect privacy, draping, consent and anatomical boundaries.</w:t>
      </w:r>
    </w:p>
    <w:p>
      <w:pPr>
        <w:pStyle w:val="ListBullet"/>
      </w:pPr>
      <w:r>
        <w:t>Techniques must not be performed when contraindicated or outside learner competence.</w:t>
      </w:r>
    </w:p>
    <w:p>
      <w:pPr>
        <w:pStyle w:val="ListBullet"/>
      </w:pPr>
      <w:r>
        <w:t>Instruction is not a substitute for independent credentialing requirements.</w:t>
      </w:r>
    </w:p>
    <w:p>
      <w:pPr>
        <w:pStyle w:val="Heading2"/>
      </w:pPr>
      <w:r>
        <w:t>Student procedures</w:t>
      </w:r>
    </w:p>
    <w:p>
      <w:pPr>
        <w:pStyle w:val="ListBullet"/>
      </w:pPr>
      <w:r>
        <w:t>Follow demonstration and practice sequence.</w:t>
      </w:r>
    </w:p>
    <w:p>
      <w:pPr>
        <w:pStyle w:val="ListBullet"/>
      </w:pPr>
      <w:r>
        <w:t>Document feedback and corrected technique.</w:t>
      </w:r>
    </w:p>
    <w:p>
      <w:pPr>
        <w:pStyle w:val="ListBullet"/>
      </w:pPr>
      <w:r>
        <w:t>Request a chaperone or alternate practice arrangement when needed.</w:t>
      </w:r>
    </w:p>
    <w:p>
      <w:pPr>
        <w:pStyle w:val="Heading1"/>
      </w:pPr>
      <w:r>
        <w:t>24. Compression and bandaging laboratory</w:t>
      </w:r>
    </w:p>
    <w:p>
      <w:pPr>
        <w:pStyle w:val="Heading2"/>
      </w:pPr>
      <w:r>
        <w:t>Purpose and scope</w:t>
      </w:r>
    </w:p>
    <w:p>
      <w:pPr/>
      <w:r>
        <w:t>Compression competency requires individualized clinical judgment.</w:t>
      </w:r>
    </w:p>
    <w:p>
      <w:pPr>
        <w:pStyle w:val="Heading2"/>
      </w:pPr>
      <w:r>
        <w:t>Institutional policy</w:t>
      </w:r>
    </w:p>
    <w:p>
      <w:pPr>
        <w:pStyle w:val="ListBullet"/>
      </w:pPr>
      <w:r>
        <w:t>Assessment must consider vascular status, skin integrity, sensation, patient tolerance and relevant medical precautions.</w:t>
      </w:r>
    </w:p>
    <w:p>
      <w:pPr>
        <w:pStyle w:val="ListBullet"/>
      </w:pPr>
      <w:r>
        <w:t>Equipment and material selection should be justified.</w:t>
      </w:r>
    </w:p>
    <w:p>
      <w:pPr>
        <w:pStyle w:val="ListBullet"/>
      </w:pPr>
      <w:r>
        <w:t>Students must recognize signs requiring removal, reassessment or referral.</w:t>
      </w:r>
    </w:p>
    <w:p>
      <w:pPr>
        <w:pStyle w:val="Heading2"/>
      </w:pPr>
      <w:r>
        <w:t>Student procedures</w:t>
      </w:r>
    </w:p>
    <w:p>
      <w:pPr>
        <w:pStyle w:val="ListBullet"/>
      </w:pPr>
      <w:r>
        <w:t>Check supplies and equipment before use.</w:t>
      </w:r>
    </w:p>
    <w:p>
      <w:pPr>
        <w:pStyle w:val="ListBullet"/>
      </w:pPr>
      <w:r>
        <w:t>Demonstrate pressure and comfort checks under supervision.</w:t>
      </w:r>
    </w:p>
    <w:p>
      <w:pPr>
        <w:pStyle w:val="ListBullet"/>
      </w:pPr>
      <w:r>
        <w:t>Record technique and safety feedback in the skills log.</w:t>
      </w:r>
    </w:p>
    <w:p>
      <w:r>
        <w:br w:type="page"/>
      </w:r>
    </w:p>
    <w:p>
      <w:pPr>
        <w:pStyle w:val="Heading1"/>
      </w:pPr>
      <w:r>
        <w:t>25. OSCE and competency log</w:t>
      </w:r>
    </w:p>
    <w:p>
      <w:pPr>
        <w:pStyle w:val="Heading2"/>
      </w:pPr>
      <w:r>
        <w:t>Operational guidance</w:t>
      </w:r>
    </w:p>
    <w:p>
      <w:r>
        <w:t>OSCE stations should use standardized instructions, predetermined observable criteria and documented assessor ratings. The course syllabus must state the number of stations, critical safety items and passing rules.</w:t>
      </w:r>
    </w:p>
    <w:p>
      <w:r>
        <w:t>A competency log should capture date, skill, supervised practice, evaluator, result, feedback and any reassessment.</w:t>
      </w:r>
    </w:p>
    <w:p>
      <w:pPr>
        <w:pStyle w:val="Heading2"/>
      </w:pPr>
      <w:r>
        <w:t>Purpose and scope</w:t>
      </w:r>
    </w:p>
    <w:p>
      <w:pPr/>
      <w:r>
        <w:t>Structured practical examinations support reliable decisions.</w:t>
      </w:r>
    </w:p>
    <w:p>
      <w:pPr>
        <w:pStyle w:val="Heading2"/>
      </w:pPr>
      <w:r>
        <w:t>Institutional policy</w:t>
      </w:r>
    </w:p>
    <w:p>
      <w:pPr>
        <w:pStyle w:val="ListBullet"/>
      </w:pPr>
      <w:r>
        <w:t>Stations should use standardized instructions and rubrics.</w:t>
      </w:r>
    </w:p>
    <w:p>
      <w:pPr>
        <w:pStyle w:val="ListBullet"/>
      </w:pPr>
      <w:r>
        <w:t>Examiners should document observed performance and critical safety findings.</w:t>
      </w:r>
    </w:p>
    <w:p>
      <w:pPr>
        <w:pStyle w:val="ListBullet"/>
      </w:pPr>
      <w:r>
        <w:t>Retesting follows the published program policy.</w:t>
      </w:r>
    </w:p>
    <w:p>
      <w:pPr>
        <w:pStyle w:val="Heading2"/>
      </w:pPr>
      <w:r>
        <w:t>Student procedures</w:t>
      </w:r>
    </w:p>
    <w:p>
      <w:pPr>
        <w:pStyle w:val="ListBullet"/>
      </w:pPr>
      <w:r>
        <w:t>Arrive prepared with required materials.</w:t>
      </w:r>
    </w:p>
    <w:p>
      <w:pPr>
        <w:pStyle w:val="ListBullet"/>
      </w:pPr>
      <w:r>
        <w:t>Complete all assigned stations and sign the competency log.</w:t>
      </w:r>
    </w:p>
    <w:p>
      <w:pPr>
        <w:pStyle w:val="ListBullet"/>
      </w:pPr>
      <w:r>
        <w:t>Request feedback and retain a copy of remediation instructions.</w:t>
      </w:r>
    </w:p>
    <w:p>
      <w:pPr>
        <w:pStyle w:val="Heading1"/>
      </w:pPr>
      <w:r>
        <w:t>26. Remediation and reassessment</w:t>
      </w:r>
    </w:p>
    <w:p>
      <w:pPr>
        <w:pStyle w:val="Heading2"/>
      </w:pPr>
      <w:r>
        <w:t>Operational guidance</w:t>
      </w:r>
    </w:p>
    <w:p>
      <w:r>
        <w:t>A remediation notice should state the unmet criterion, evidence supporting the decision, learning activities, available faculty support, reassessment format, deadline and appeal route.</w:t>
      </w:r>
    </w:p>
    <w:p>
      <w:r>
        <w:t>Remediation is not a guarantee of a passing outcome. Additional fees, if any, must have been disclosed before enrollment or agreed to in writing.</w:t>
      </w:r>
    </w:p>
    <w:p>
      <w:pPr>
        <w:pStyle w:val="Heading2"/>
      </w:pPr>
      <w:r>
        <w:t>Purpose and scope</w:t>
      </w:r>
    </w:p>
    <w:p>
      <w:pPr/>
      <w:r>
        <w:t>Students who do not meet requirements should receive a fair improvement pathway where feasible.</w:t>
      </w:r>
    </w:p>
    <w:p>
      <w:pPr>
        <w:pStyle w:val="Heading2"/>
      </w:pPr>
      <w:r>
        <w:t>Institutional policy</w:t>
      </w:r>
    </w:p>
    <w:p>
      <w:pPr>
        <w:pStyle w:val="ListBullet"/>
      </w:pPr>
      <w:r>
        <w:t>Remediation may include targeted reading, faculty coaching, supervised practice and reassessment.</w:t>
      </w:r>
    </w:p>
    <w:p>
      <w:pPr>
        <w:pStyle w:val="ListBullet"/>
      </w:pPr>
      <w:r>
        <w:t>The number of attempts, fees and deadlines must be disclosed in the syllabus.</w:t>
      </w:r>
    </w:p>
    <w:p>
      <w:pPr>
        <w:pStyle w:val="ListBullet"/>
      </w:pPr>
      <w:r>
        <w:t>Critical safety failures may require additional supervision or program withdrawal.</w:t>
      </w:r>
    </w:p>
    <w:p>
      <w:pPr>
        <w:pStyle w:val="Heading2"/>
      </w:pPr>
      <w:r>
        <w:t>Student procedures</w:t>
      </w:r>
    </w:p>
    <w:p>
      <w:pPr>
        <w:pStyle w:val="ListBullet"/>
      </w:pPr>
      <w:r>
        <w:t>Review the written deficiency report.</w:t>
      </w:r>
    </w:p>
    <w:p>
      <w:pPr>
        <w:pStyle w:val="ListBullet"/>
      </w:pPr>
      <w:r>
        <w:t>Complete the individualized remediation plan.</w:t>
      </w:r>
    </w:p>
    <w:p>
      <w:pPr>
        <w:pStyle w:val="ListBullet"/>
      </w:pPr>
      <w:r>
        <w:t>Schedule reassessment within the approved window.</w:t>
      </w:r>
    </w:p>
    <w:p>
      <w:pPr>
        <w:pStyle w:val="Heading2"/>
      </w:pPr>
      <w:r>
        <w:t>Implementation and records</w:t>
      </w:r>
    </w:p>
    <w:p>
      <w:pPr/>
      <w:r>
        <w:t>Proposed remediation form appears in the appendices; specific attempt limits remain course-dependent.</w:t>
      </w:r>
    </w:p>
    <w:p>
      <w:pPr>
        <w:pStyle w:val="Heading1"/>
      </w:pPr>
      <w:r>
        <w:t>27. Progression and academic standing</w:t>
      </w:r>
    </w:p>
    <w:p>
      <w:pPr>
        <w:pStyle w:val="Heading2"/>
      </w:pPr>
      <w:r>
        <w:t>Purpose and scope</w:t>
      </w:r>
    </w:p>
    <w:p>
      <w:pPr/>
      <w:r>
        <w:t>Progression depends on meeting prerequisites and safety expectations.</w:t>
      </w:r>
    </w:p>
    <w:p>
      <w:pPr>
        <w:pStyle w:val="Heading2"/>
      </w:pPr>
      <w:r>
        <w:t>Institutional policy</w:t>
      </w:r>
    </w:p>
    <w:p>
      <w:pPr>
        <w:pStyle w:val="ListBullet"/>
      </w:pPr>
      <w:r>
        <w:t>Students may be placed on academic warning when course standards are unmet.</w:t>
      </w:r>
    </w:p>
    <w:p>
      <w:pPr>
        <w:pStyle w:val="ListBullet"/>
      </w:pPr>
      <w:r>
        <w:t>Advanced practical activities may be restricted pending competency.</w:t>
      </w:r>
    </w:p>
    <w:p>
      <w:pPr>
        <w:pStyle w:val="ListBullet"/>
      </w:pPr>
      <w:r>
        <w:t>Dismissal decisions require documentation and an opportunity for review.</w:t>
      </w:r>
    </w:p>
    <w:p>
      <w:pPr>
        <w:pStyle w:val="Heading2"/>
      </w:pPr>
      <w:r>
        <w:t>Student procedures</w:t>
      </w:r>
    </w:p>
    <w:p>
      <w:pPr>
        <w:pStyle w:val="ListBullet"/>
      </w:pPr>
      <w:r>
        <w:t>Monitor progress in the LMS.</w:t>
      </w:r>
    </w:p>
    <w:p>
      <w:pPr>
        <w:pStyle w:val="ListBullet"/>
      </w:pPr>
      <w:r>
        <w:t>Discuss improvement plans with faculty.</w:t>
      </w:r>
    </w:p>
    <w:p>
      <w:pPr>
        <w:pStyle w:val="ListBullet"/>
      </w:pPr>
      <w:r>
        <w:t>Use the appeal process when disputing a decision.</w:t>
      </w:r>
    </w:p>
    <w:p>
      <w:r>
        <w:br w:type="page"/>
      </w:r>
    </w:p>
    <w:p>
      <w:pPr>
        <w:pStyle w:val="Heading1"/>
      </w:pPr>
      <w:r>
        <w:t>28. Satisfactory completion</w:t>
      </w:r>
    </w:p>
    <w:p>
      <w:pPr>
        <w:pStyle w:val="Heading2"/>
      </w:pPr>
      <w:r>
        <w:t>Purpose and scope</w:t>
      </w:r>
    </w:p>
    <w:p>
      <w:pPr/>
      <w:r>
        <w:t>Certificates are awarded only after verified completion.</w:t>
      </w:r>
    </w:p>
    <w:p>
      <w:pPr>
        <w:pStyle w:val="Heading2"/>
      </w:pPr>
      <w:r>
        <w:t>Institutional policy</w:t>
      </w:r>
    </w:p>
    <w:p>
      <w:pPr>
        <w:pStyle w:val="ListBullet"/>
      </w:pPr>
      <w:r>
        <w:t>Requirements may include eligible hours, learning activities, passing assessments, clinical competency and evaluation.</w:t>
      </w:r>
    </w:p>
    <w:p>
      <w:pPr>
        <w:pStyle w:val="ListBullet"/>
      </w:pPr>
      <w:r>
        <w:t>Completion rules must be stated in advance.</w:t>
      </w:r>
    </w:p>
    <w:p>
      <w:pPr>
        <w:pStyle w:val="ListBullet"/>
      </w:pPr>
      <w:r>
        <w:t>Partial attendance does not automatically qualify for credit.</w:t>
      </w:r>
    </w:p>
    <w:p>
      <w:pPr>
        <w:pStyle w:val="Heading2"/>
      </w:pPr>
      <w:r>
        <w:t>Student procedures</w:t>
      </w:r>
    </w:p>
    <w:p>
      <w:pPr>
        <w:pStyle w:val="ListBullet"/>
      </w:pPr>
      <w:r>
        <w:t>Confirm that all tasks show complete.</w:t>
      </w:r>
    </w:p>
    <w:p>
      <w:pPr>
        <w:pStyle w:val="ListBullet"/>
      </w:pPr>
      <w:r>
        <w:t>Resolve outstanding competency or identity checks.</w:t>
      </w:r>
    </w:p>
    <w:p>
      <w:pPr>
        <w:pStyle w:val="ListBullet"/>
      </w:pPr>
      <w:r>
        <w:t>Download and securely retain the final certificate.</w:t>
      </w:r>
    </w:p>
    <w:p>
      <w:pPr>
        <w:pStyle w:val="Heading1"/>
      </w:pPr>
      <w:r>
        <w:t>29. Continuing education and CEU calculation</w:t>
      </w:r>
    </w:p>
    <w:p>
      <w:pPr>
        <w:pStyle w:val="Heading2"/>
      </w:pPr>
      <w:r>
        <w:t>Operational guidance</w:t>
      </w:r>
    </w:p>
    <w:p>
      <w:r>
        <w:t>For courses using the AOTA CEU convention, 10 eligible instructional contact hours equal 1.0 CEU; breaks, meals and noneducational time are excluded. The approved activity’s published designation governs its award.</w:t>
      </w:r>
    </w:p>
    <w:p>
      <w:r>
        <w:t>A course completion certificate, AOTA CEU, Kenya CPD credit and any other professional-board credit are distinct; credits are not automatically interchangeable across jurisdictions.</w:t>
      </w:r>
    </w:p>
    <w:p>
      <w:pPr>
        <w:pStyle w:val="Heading2"/>
      </w:pPr>
      <w:r>
        <w:t>Purpose and scope</w:t>
      </w:r>
    </w:p>
    <w:p>
      <w:pPr/>
      <w:r>
        <w:t>Credit must reflect eligible instructional time and the specific approving framework.</w:t>
      </w:r>
    </w:p>
    <w:p>
      <w:pPr>
        <w:pStyle w:val="Heading2"/>
      </w:pPr>
      <w:r>
        <w:t>Institutional policy</w:t>
      </w:r>
    </w:p>
    <w:p>
      <w:pPr>
        <w:pStyle w:val="ListBullet"/>
      </w:pPr>
      <w:r>
        <w:t>For AOTA CEU calculations, 10 eligible contact hours equal 1.0 CEU, excluding breaks.</w:t>
      </w:r>
    </w:p>
    <w:p>
      <w:pPr>
        <w:pStyle w:val="ListBullet"/>
      </w:pPr>
      <w:r>
        <w:t>Provider status does not mean every course carries every approval.</w:t>
      </w:r>
    </w:p>
    <w:p>
      <w:pPr>
        <w:pStyle w:val="ListBullet"/>
      </w:pPr>
      <w:r>
        <w:t>Each course announcement must specify applicable approval, number and credit units.</w:t>
      </w:r>
    </w:p>
    <w:p>
      <w:pPr>
        <w:pStyle w:val="Heading2"/>
      </w:pPr>
      <w:r>
        <w:t>Student procedures</w:t>
      </w:r>
    </w:p>
    <w:p>
      <w:pPr>
        <w:pStyle w:val="ListBullet"/>
      </w:pPr>
      <w:r>
        <w:t>Verify the relevant regulator before enrollment.</w:t>
      </w:r>
    </w:p>
    <w:p>
      <w:pPr>
        <w:pStyle w:val="ListBullet"/>
      </w:pPr>
      <w:r>
        <w:t>Check the course certificate for correct hours and approval language.</w:t>
      </w:r>
    </w:p>
    <w:p>
      <w:pPr>
        <w:pStyle w:val="ListBullet"/>
      </w:pPr>
      <w:r>
        <w:t>Keep supporting records for renewal audits.</w:t>
      </w:r>
    </w:p>
    <w:p>
      <w:pPr>
        <w:pStyle w:val="Heading1"/>
      </w:pPr>
      <w:r>
        <w:t>30. Certificates and transcript records</w:t>
      </w:r>
    </w:p>
    <w:p>
      <w:pPr>
        <w:pStyle w:val="Heading2"/>
      </w:pPr>
      <w:r>
        <w:t>Purpose and scope</w:t>
      </w:r>
    </w:p>
    <w:p>
      <w:pPr/>
      <w:r>
        <w:t>Accurate documentation supports professional development.</w:t>
      </w:r>
    </w:p>
    <w:p>
      <w:pPr>
        <w:pStyle w:val="Heading2"/>
      </w:pPr>
      <w:r>
        <w:t>Institutional policy</w:t>
      </w:r>
    </w:p>
    <w:p>
      <w:pPr>
        <w:pStyle w:val="ListBullet"/>
      </w:pPr>
      <w:r>
        <w:t>Certificates should identify learner, course, completion date, contact hours, eligible CEUs, provider and authorized signature.</w:t>
      </w:r>
    </w:p>
    <w:p>
      <w:pPr>
        <w:pStyle w:val="ListBullet"/>
      </w:pPr>
      <w:r>
        <w:t>Certificates of completion do not independently establish licensure or specialist status.</w:t>
      </w:r>
    </w:p>
    <w:p>
      <w:pPr>
        <w:pStyle w:val="ListBullet"/>
      </w:pPr>
      <w:r>
        <w:t>Correction and replacement requests require identity verification.</w:t>
      </w:r>
    </w:p>
    <w:p>
      <w:pPr>
        <w:pStyle w:val="Heading2"/>
      </w:pPr>
      <w:r>
        <w:t>Student procedures</w:t>
      </w:r>
    </w:p>
    <w:p>
      <w:pPr>
        <w:pStyle w:val="ListBullet"/>
      </w:pPr>
      <w:r>
        <w:t>Check certificate spelling and credit values immediately.</w:t>
      </w:r>
    </w:p>
    <w:p>
      <w:pPr>
        <w:pStyle w:val="ListBullet"/>
      </w:pPr>
      <w:r>
        <w:t>Submit written correction requests with supporting details.</w:t>
      </w:r>
    </w:p>
    <w:p>
      <w:pPr>
        <w:pStyle w:val="ListBullet"/>
      </w:pPr>
      <w:r>
        <w:t>Keep copies of certificates and course descriptions.</w:t>
      </w:r>
    </w:p>
    <w:p>
      <w:r>
        <w:br w:type="page"/>
      </w:r>
    </w:p>
    <w:p>
      <w:pPr>
        <w:pStyle w:val="Heading1"/>
      </w:pPr>
      <w:r>
        <w:t>31. United States continuing education</w:t>
      </w:r>
    </w:p>
    <w:p>
      <w:pPr>
        <w:pStyle w:val="Heading2"/>
      </w:pPr>
      <w:r>
        <w:t>Operational guidance</w:t>
      </w:r>
    </w:p>
    <w:p>
      <w:r>
        <w:t>United States learners should verify whether the specific course is accepted by their state licensing board and whether the activity is individually designated for AOTA CE credit. Provider status alone does not imply that every offering is eligible for every professional credential.</w:t>
      </w:r>
    </w:p>
    <w:p>
      <w:pPr>
        <w:pStyle w:val="Heading2"/>
      </w:pPr>
      <w:r>
        <w:t>Purpose and scope</w:t>
      </w:r>
    </w:p>
    <w:p>
      <w:pPr/>
      <w:r>
        <w:t>U.S. credit recognition varies by discipline and licensing board.</w:t>
      </w:r>
    </w:p>
    <w:p>
      <w:pPr>
        <w:pStyle w:val="Heading2"/>
      </w:pPr>
      <w:r>
        <w:t>Institutional policy</w:t>
      </w:r>
    </w:p>
    <w:p>
      <w:pPr>
        <w:pStyle w:val="ListBullet"/>
      </w:pPr>
      <w:r>
        <w:t>AOTA-approved provider status and course-level credit claims must be represented accurately.</w:t>
      </w:r>
    </w:p>
    <w:p>
      <w:pPr>
        <w:pStyle w:val="ListBullet"/>
      </w:pPr>
      <w:r>
        <w:t>State OT-specific credit separately from other professions’ credit.</w:t>
      </w:r>
    </w:p>
    <w:p>
      <w:pPr>
        <w:pStyle w:val="ListBullet"/>
      </w:pPr>
      <w:r>
        <w:t>Individual state boards determine acceptance for licensure renewal.</w:t>
      </w:r>
    </w:p>
    <w:p>
      <w:pPr>
        <w:pStyle w:val="Heading2"/>
      </w:pPr>
      <w:r>
        <w:t>Student procedures</w:t>
      </w:r>
    </w:p>
    <w:p>
      <w:pPr>
        <w:pStyle w:val="ListBullet"/>
      </w:pPr>
      <w:r>
        <w:t>Confirm state-board rules before relying on a course.</w:t>
      </w:r>
    </w:p>
    <w:p>
      <w:pPr>
        <w:pStyle w:val="ListBullet"/>
      </w:pPr>
      <w:r>
        <w:t>Retain certificate, objectives and agenda.</w:t>
      </w:r>
    </w:p>
    <w:p>
      <w:pPr>
        <w:pStyle w:val="ListBullet"/>
      </w:pPr>
      <w:r>
        <w:t>Ask LGTAL for a verification letter if required.</w:t>
      </w:r>
    </w:p>
    <w:p>
      <w:pPr>
        <w:pStyle w:val="Heading2"/>
      </w:pPr>
      <w:r>
        <w:t>Implementation and records</w:t>
      </w:r>
    </w:p>
    <w:p>
      <w:pPr/>
      <w:r>
        <w:t>Do not advertise automatic approval by every U.S. state or profession.</w:t>
      </w:r>
    </w:p>
    <w:p>
      <w:pPr>
        <w:pStyle w:val="Heading1"/>
      </w:pPr>
      <w:r>
        <w:t>32. Kenya continuing professional development</w:t>
      </w:r>
    </w:p>
    <w:p>
      <w:pPr>
        <w:pStyle w:val="Heading2"/>
      </w:pPr>
      <w:r>
        <w:t>Operational guidance</w:t>
      </w:r>
    </w:p>
    <w:p>
      <w:r>
        <w:t>Kenya learners must verify the course’s applicable OT regulatory approval or CPD recognition, the profession covered, current provider or activity identifier and the credit reporting method. LGTAL should print only verified numbers on course-specific certificates.</w:t>
      </w:r>
    </w:p>
    <w:p>
      <w:pPr>
        <w:pStyle w:val="Heading2"/>
      </w:pPr>
      <w:r>
        <w:t>Purpose and scope</w:t>
      </w:r>
    </w:p>
    <w:p>
      <w:pPr/>
      <w:r>
        <w:t>Kenyan professional councils set profession-specific CPD rules.</w:t>
      </w:r>
    </w:p>
    <w:p>
      <w:pPr>
        <w:pStyle w:val="Heading2"/>
      </w:pPr>
      <w:r>
        <w:t>Institutional policy</w:t>
      </w:r>
    </w:p>
    <w:p>
      <w:pPr>
        <w:pStyle w:val="ListBullet"/>
      </w:pPr>
      <w:r>
        <w:t>OTCK-related claims should use the academy’s verified current provider details and course-specific approvals.</w:t>
      </w:r>
    </w:p>
    <w:p>
      <w:pPr>
        <w:pStyle w:val="ListBullet"/>
      </w:pPr>
      <w:r>
        <w:t>PT, nursing, medical and clinical-officer requirements are not interchangeable.</w:t>
      </w:r>
    </w:p>
    <w:p>
      <w:pPr>
        <w:pStyle w:val="ListBullet"/>
      </w:pPr>
      <w:r>
        <w:t>Kenyan contact hours or CPD points must follow the relevant council’s current policy.</w:t>
      </w:r>
    </w:p>
    <w:p>
      <w:pPr>
        <w:pStyle w:val="Heading2"/>
      </w:pPr>
      <w:r>
        <w:t>Student procedures</w:t>
      </w:r>
    </w:p>
    <w:p>
      <w:pPr>
        <w:pStyle w:val="ListBullet"/>
      </w:pPr>
      <w:r>
        <w:t>Confirm the correct regulator for your profession.</w:t>
      </w:r>
    </w:p>
    <w:p>
      <w:pPr>
        <w:pStyle w:val="ListBullet"/>
      </w:pPr>
      <w:r>
        <w:t>Verify course eligibility and applicable approval number before registration.</w:t>
      </w:r>
    </w:p>
    <w:p>
      <w:pPr>
        <w:pStyle w:val="ListBullet"/>
      </w:pPr>
      <w:r>
        <w:t>Retain evidence of attendance and completion.</w:t>
      </w:r>
    </w:p>
    <w:p>
      <w:pPr>
        <w:pStyle w:val="Heading2"/>
      </w:pPr>
      <w:r>
        <w:t>Implementation and records</w:t>
      </w:r>
    </w:p>
    <w:p>
      <w:pPr/>
      <w:r>
        <w:t>Administrator must insert and verify current OTCK provider registration number and any specific activity approval before publication.</w:t>
      </w:r>
    </w:p>
    <w:p>
      <w:pPr>
        <w:pStyle w:val="Heading1"/>
      </w:pPr>
      <w:r>
        <w:t>33. Nigeria continuing professional development</w:t>
      </w:r>
    </w:p>
    <w:p>
      <w:pPr>
        <w:pStyle w:val="Heading2"/>
      </w:pPr>
      <w:r>
        <w:t>Operational guidance</w:t>
      </w:r>
    </w:p>
    <w:p>
      <w:r>
        <w:t>Nigeria learners should confirm acceptance with their own professional regulator (for example, the relevant occupational therapy or physiotherapy regulatory body) before assuming CPD recognition. LGTAL should not describe a pending application as an approval.</w:t>
      </w:r>
    </w:p>
    <w:p>
      <w:pPr>
        <w:pStyle w:val="Heading2"/>
      </w:pPr>
      <w:r>
        <w:t>Purpose and scope</w:t>
      </w:r>
    </w:p>
    <w:p>
      <w:pPr/>
      <w:r>
        <w:t>Nigerian professional registration and CPD are regulator-specific.</w:t>
      </w:r>
    </w:p>
    <w:p>
      <w:pPr>
        <w:pStyle w:val="Heading2"/>
      </w:pPr>
      <w:r>
        <w:t>Institutional policy</w:t>
      </w:r>
    </w:p>
    <w:p>
      <w:pPr>
        <w:pStyle w:val="ListBullet"/>
      </w:pPr>
      <w:r>
        <w:t>Do not represent a pending MRTB application as an approval.</w:t>
      </w:r>
    </w:p>
    <w:p>
      <w:pPr>
        <w:pStyle w:val="ListBullet"/>
      </w:pPr>
      <w:r>
        <w:t>Occupational therapy, physiotherapy, nursing and medical practitioners may face different requirements.</w:t>
      </w:r>
    </w:p>
    <w:p>
      <w:pPr>
        <w:pStyle w:val="ListBullet"/>
      </w:pPr>
      <w:r>
        <w:t>Course certificates should accurately state approved versus nonapproved credit.</w:t>
      </w:r>
    </w:p>
    <w:p>
      <w:pPr>
        <w:pStyle w:val="Heading2"/>
      </w:pPr>
      <w:r>
        <w:t>Student procedures</w:t>
      </w:r>
    </w:p>
    <w:p>
      <w:pPr>
        <w:pStyle w:val="ListBullet"/>
      </w:pPr>
      <w:r>
        <w:t>Ask the relevant Nigerian regulator about recognition.</w:t>
      </w:r>
    </w:p>
    <w:p>
      <w:pPr>
        <w:pStyle w:val="ListBullet"/>
      </w:pPr>
      <w:r>
        <w:t>Review the exact course approval statement.</w:t>
      </w:r>
    </w:p>
    <w:p>
      <w:pPr>
        <w:pStyle w:val="ListBullet"/>
      </w:pPr>
      <w:r>
        <w:t>Retain training records for any individual submission process.</w:t>
      </w:r>
    </w:p>
    <w:p>
      <w:pPr>
        <w:pStyle w:val="Heading2"/>
      </w:pPr>
      <w:r>
        <w:t>Implementation and records</w:t>
      </w:r>
    </w:p>
    <w:p>
      <w:pPr/>
      <w:r>
        <w:t>Any future MRTB approval must be verified and added by formal handbook revision.</w:t>
      </w:r>
    </w:p>
    <w:p>
      <w:r>
        <w:br w:type="page"/>
      </w:r>
    </w:p>
    <w:p>
      <w:pPr>
        <w:pStyle w:val="Heading1"/>
      </w:pPr>
      <w:r>
        <w:t>34. Uganda, Tanzania, Zambia and South Sudan</w:t>
      </w:r>
    </w:p>
    <w:p>
      <w:pPr>
        <w:pStyle w:val="Heading2"/>
      </w:pPr>
      <w:r>
        <w:t>Operational guidance</w:t>
      </w:r>
    </w:p>
    <w:p>
      <w:r>
        <w:t>For Uganda, Tanzania, Zambia and South Sudan, professional CPD recognition, provider registration and credit reporting may differ by profession and change over time. Students should obtain written confirmation from the relevant national authority before relying on a certificate for renewal.</w:t>
      </w:r>
    </w:p>
    <w:p>
      <w:pPr>
        <w:pStyle w:val="Heading2"/>
      </w:pPr>
      <w:r>
        <w:t>Purpose and scope</w:t>
      </w:r>
    </w:p>
    <w:p>
      <w:pPr/>
      <w:r>
        <w:t>Regional programs require local regulatory checks.</w:t>
      </w:r>
    </w:p>
    <w:p>
      <w:pPr>
        <w:pStyle w:val="Heading2"/>
      </w:pPr>
      <w:r>
        <w:t>Institutional policy</w:t>
      </w:r>
    </w:p>
    <w:p>
      <w:pPr>
        <w:pStyle w:val="ListBullet"/>
      </w:pPr>
      <w:r>
        <w:t>Recognition is not assumed across borders.</w:t>
      </w:r>
    </w:p>
    <w:p>
      <w:pPr>
        <w:pStyle w:val="ListBullet"/>
      </w:pPr>
      <w:r>
        <w:t>Host institutions and professional councils may impose distinct CPD, clinical-placement or certificate requirements.</w:t>
      </w:r>
    </w:p>
    <w:p>
      <w:pPr>
        <w:pStyle w:val="ListBullet"/>
      </w:pPr>
      <w:r>
        <w:t>Training does not confer practice authorization in the host country.</w:t>
      </w:r>
    </w:p>
    <w:p>
      <w:pPr>
        <w:pStyle w:val="Heading2"/>
      </w:pPr>
      <w:r>
        <w:t>Student procedures</w:t>
      </w:r>
    </w:p>
    <w:p>
      <w:pPr>
        <w:pStyle w:val="ListBullet"/>
      </w:pPr>
      <w:r>
        <w:t>Confirm current professional registration requirements.</w:t>
      </w:r>
    </w:p>
    <w:p>
      <w:pPr>
        <w:pStyle w:val="ListBullet"/>
      </w:pPr>
      <w:r>
        <w:t>Ask for the course-specific approval statement.</w:t>
      </w:r>
    </w:p>
    <w:p>
      <w:pPr>
        <w:pStyle w:val="ListBullet"/>
      </w:pPr>
      <w:r>
        <w:t>Check travel, infection prevention and supervision rules for on-site training.</w:t>
      </w:r>
    </w:p>
    <w:p>
      <w:pPr>
        <w:pStyle w:val="Heading1"/>
      </w:pPr>
      <w:r>
        <w:t>35. Other countries and cross-border learning</w:t>
      </w:r>
    </w:p>
    <w:p>
      <w:pPr>
        <w:pStyle w:val="Heading2"/>
      </w:pPr>
      <w:r>
        <w:t>Purpose and scope</w:t>
      </w:r>
    </w:p>
    <w:p>
      <w:pPr/>
      <w:r>
        <w:t>International access does not imply international credential portability.</w:t>
      </w:r>
    </w:p>
    <w:p>
      <w:pPr>
        <w:pStyle w:val="Heading2"/>
      </w:pPr>
      <w:r>
        <w:t>Institutional policy</w:t>
      </w:r>
    </w:p>
    <w:p>
      <w:pPr>
        <w:pStyle w:val="ListBullet"/>
      </w:pPr>
      <w:r>
        <w:t>Each learner is responsible for confirming local CPD acceptance.</w:t>
      </w:r>
    </w:p>
    <w:p>
      <w:pPr>
        <w:pStyle w:val="ListBullet"/>
      </w:pPr>
      <w:r>
        <w:t>Academy communications should clearly distinguish contact hours from regulator-approved points.</w:t>
      </w:r>
    </w:p>
    <w:p>
      <w:pPr>
        <w:pStyle w:val="ListBullet"/>
      </w:pPr>
      <w:r>
        <w:t>Translations should preserve the original certificate meaning.</w:t>
      </w:r>
    </w:p>
    <w:p>
      <w:pPr>
        <w:pStyle w:val="Heading2"/>
      </w:pPr>
      <w:r>
        <w:t>Student procedures</w:t>
      </w:r>
    </w:p>
    <w:p>
      <w:pPr>
        <w:pStyle w:val="ListBullet"/>
      </w:pPr>
      <w:r>
        <w:t>Contact your professional regulator before payment.</w:t>
      </w:r>
    </w:p>
    <w:p>
      <w:pPr>
        <w:pStyle w:val="ListBullet"/>
      </w:pPr>
      <w:r>
        <w:t>Request the syllabus and credit breakdown.</w:t>
      </w:r>
    </w:p>
    <w:p>
      <w:pPr>
        <w:pStyle w:val="ListBullet"/>
      </w:pPr>
      <w:r>
        <w:t>Retain evidence of any regulator guidance.</w:t>
      </w:r>
    </w:p>
    <w:p>
      <w:pPr>
        <w:pStyle w:val="Heading1"/>
      </w:pPr>
      <w:r>
        <w:t>36. Accessibility and reasonable accommodations</w:t>
      </w:r>
    </w:p>
    <w:p>
      <w:pPr>
        <w:pStyle w:val="Heading2"/>
      </w:pPr>
      <w:r>
        <w:t>Purpose and scope</w:t>
      </w:r>
    </w:p>
    <w:p>
      <w:pPr/>
      <w:r>
        <w:t>LGTAL seeks to remove unnecessary learning barriers.</w:t>
      </w:r>
    </w:p>
    <w:p>
      <w:pPr>
        <w:pStyle w:val="Heading2"/>
      </w:pPr>
      <w:r>
        <w:t>Institutional policy</w:t>
      </w:r>
    </w:p>
    <w:p>
      <w:pPr>
        <w:pStyle w:val="ListBullet"/>
      </w:pPr>
      <w:r>
        <w:t>Requests may include captioning, alternative formats, assistive technology and accessible practical arrangements.</w:t>
      </w:r>
    </w:p>
    <w:p>
      <w:pPr>
        <w:pStyle w:val="ListBullet"/>
      </w:pPr>
      <w:r>
        <w:t>Essential clinical safety competencies remain applicable.</w:t>
      </w:r>
    </w:p>
    <w:p>
      <w:pPr>
        <w:pStyle w:val="ListBullet"/>
      </w:pPr>
      <w:r>
        <w:t>Sensitive accommodation information is shared only as necessary.</w:t>
      </w:r>
    </w:p>
    <w:p>
      <w:pPr>
        <w:pStyle w:val="Heading2"/>
      </w:pPr>
      <w:r>
        <w:t>Student procedures</w:t>
      </w:r>
    </w:p>
    <w:p>
      <w:pPr>
        <w:pStyle w:val="ListBullet"/>
      </w:pPr>
      <w:r>
        <w:t>Contact support preferably 10 business days in advance; later requests are still considered.</w:t>
      </w:r>
    </w:p>
    <w:p>
      <w:pPr>
        <w:pStyle w:val="ListBullet"/>
      </w:pPr>
      <w:r>
        <w:t>Describe the barrier and requested adjustment, without unnecessary diagnosis details.</w:t>
      </w:r>
    </w:p>
    <w:p>
      <w:pPr>
        <w:pStyle w:val="ListBullet"/>
      </w:pPr>
      <w:r>
        <w:t>Appeal an accommodation decision through the grievance process.</w:t>
      </w:r>
    </w:p>
    <w:p>
      <w:r>
        <w:br w:type="page"/>
      </w:r>
    </w:p>
    <w:p>
      <w:pPr>
        <w:pStyle w:val="Heading1"/>
      </w:pPr>
      <w:r>
        <w:t>37. Student welfare and support</w:t>
      </w:r>
    </w:p>
    <w:p>
      <w:pPr>
        <w:pStyle w:val="Heading2"/>
      </w:pPr>
      <w:r>
        <w:t>Purpose and scope</w:t>
      </w:r>
    </w:p>
    <w:p>
      <w:pPr/>
      <w:r>
        <w:t>Support services help learners remain engaged and safe.</w:t>
      </w:r>
    </w:p>
    <w:p>
      <w:pPr>
        <w:pStyle w:val="Heading2"/>
      </w:pPr>
      <w:r>
        <w:t>Institutional policy</w:t>
      </w:r>
    </w:p>
    <w:p>
      <w:pPr>
        <w:pStyle w:val="ListBullet"/>
      </w:pPr>
      <w:r>
        <w:t>Students may request academic guidance, technical support or referrals to appropriate external services.</w:t>
      </w:r>
    </w:p>
    <w:p>
      <w:pPr>
        <w:pStyle w:val="ListBullet"/>
      </w:pPr>
      <w:r>
        <w:t>Faculty do not replace personal healthcare or emergency services.</w:t>
      </w:r>
    </w:p>
    <w:p>
      <w:pPr>
        <w:pStyle w:val="ListBullet"/>
      </w:pPr>
      <w:r>
        <w:t>Urgent safety threats require local emergency response.</w:t>
      </w:r>
    </w:p>
    <w:p>
      <w:pPr>
        <w:pStyle w:val="Heading2"/>
      </w:pPr>
      <w:r>
        <w:t>Student procedures</w:t>
      </w:r>
    </w:p>
    <w:p>
      <w:pPr>
        <w:pStyle w:val="ListBullet"/>
      </w:pPr>
      <w:r>
        <w:t>Contact course support when falling behind.</w:t>
      </w:r>
    </w:p>
    <w:p>
      <w:pPr>
        <w:pStyle w:val="ListBullet"/>
      </w:pPr>
      <w:r>
        <w:t>Request a study plan or clarification.</w:t>
      </w:r>
    </w:p>
    <w:p>
      <w:pPr>
        <w:pStyle w:val="ListBullet"/>
      </w:pPr>
      <w:r>
        <w:t>Use local emergency resources for urgent medical or safety needs.</w:t>
      </w:r>
    </w:p>
    <w:p>
      <w:pPr>
        <w:pStyle w:val="Heading1"/>
      </w:pPr>
      <w:r>
        <w:t>38. Privacy, patient information and recordings</w:t>
      </w:r>
    </w:p>
    <w:p>
      <w:pPr>
        <w:pStyle w:val="Heading2"/>
      </w:pPr>
      <w:r>
        <w:t>Purpose and scope</w:t>
      </w:r>
    </w:p>
    <w:p>
      <w:pPr/>
      <w:r>
        <w:t>Health information used for learning must be protected.</w:t>
      </w:r>
    </w:p>
    <w:p>
      <w:pPr>
        <w:pStyle w:val="Heading2"/>
      </w:pPr>
      <w:r>
        <w:t>Institutional policy</w:t>
      </w:r>
    </w:p>
    <w:p>
      <w:pPr>
        <w:pStyle w:val="ListBullet"/>
      </w:pPr>
      <w:r>
        <w:t>Remove identifying patient information from cases unless specifically authorized under applicable law and institutional policy.</w:t>
      </w:r>
    </w:p>
    <w:p>
      <w:pPr>
        <w:pStyle w:val="ListBullet"/>
      </w:pPr>
      <w:r>
        <w:t>Recording patients or peers requires appropriate permission.</w:t>
      </w:r>
    </w:p>
    <w:p>
      <w:pPr>
        <w:pStyle w:val="ListBullet"/>
      </w:pPr>
      <w:r>
        <w:t>Student data access should be limited to legitimate educational purposes.</w:t>
      </w:r>
    </w:p>
    <w:p>
      <w:pPr>
        <w:pStyle w:val="Heading2"/>
      </w:pPr>
      <w:r>
        <w:t>Student procedures</w:t>
      </w:r>
    </w:p>
    <w:p>
      <w:pPr>
        <w:pStyle w:val="ListBullet"/>
      </w:pPr>
      <w:r>
        <w:t>Use de-identified case materials.</w:t>
      </w:r>
    </w:p>
    <w:p>
      <w:pPr>
        <w:pStyle w:val="ListBullet"/>
      </w:pPr>
      <w:r>
        <w:t>Store files in approved systems only.</w:t>
      </w:r>
    </w:p>
    <w:p>
      <w:pPr>
        <w:pStyle w:val="ListBullet"/>
      </w:pPr>
      <w:r>
        <w:t>Report accidental disclosure promptly.</w:t>
      </w:r>
    </w:p>
    <w:p>
      <w:pPr>
        <w:pStyle w:val="Heading1"/>
      </w:pPr>
      <w:r>
        <w:t>39. Copyright and educational materials</w:t>
      </w:r>
    </w:p>
    <w:p>
      <w:pPr>
        <w:pStyle w:val="Heading2"/>
      </w:pPr>
      <w:r>
        <w:t>Purpose and scope</w:t>
      </w:r>
    </w:p>
    <w:p>
      <w:pPr/>
      <w:r>
        <w:t>Materials are provided for authorized learning use.</w:t>
      </w:r>
    </w:p>
    <w:p>
      <w:pPr>
        <w:pStyle w:val="Heading2"/>
      </w:pPr>
      <w:r>
        <w:t>Institutional policy</w:t>
      </w:r>
    </w:p>
    <w:p>
      <w:pPr>
        <w:pStyle w:val="ListBullet"/>
      </w:pPr>
      <w:r>
        <w:t>Students may not redistribute paid course files, recordings or assessment banks.</w:t>
      </w:r>
    </w:p>
    <w:p>
      <w:pPr>
        <w:pStyle w:val="ListBullet"/>
      </w:pPr>
      <w:r>
        <w:t>Third-party articles remain subject to their own licenses.</w:t>
      </w:r>
    </w:p>
    <w:p>
      <w:pPr>
        <w:pStyle w:val="ListBullet"/>
      </w:pPr>
      <w:r>
        <w:t>Faculty may grant written permission for specified reuse.</w:t>
      </w:r>
    </w:p>
    <w:p>
      <w:pPr>
        <w:pStyle w:val="Heading2"/>
      </w:pPr>
      <w:r>
        <w:t>Student procedures</w:t>
      </w:r>
    </w:p>
    <w:p>
      <w:pPr>
        <w:pStyle w:val="ListBullet"/>
      </w:pPr>
      <w:r>
        <w:t>Cite learning resources in assignments.</w:t>
      </w:r>
    </w:p>
    <w:p>
      <w:pPr>
        <w:pStyle w:val="ListBullet"/>
      </w:pPr>
      <w:r>
        <w:t>Ask permission before reusing slides or handouts.</w:t>
      </w:r>
    </w:p>
    <w:p>
      <w:pPr>
        <w:pStyle w:val="ListBullet"/>
      </w:pPr>
      <w:r>
        <w:t>Avoid uploading protected course materials to public platforms.</w:t>
      </w:r>
    </w:p>
    <w:p>
      <w:r>
        <w:br w:type="page"/>
      </w:r>
    </w:p>
    <w:p>
      <w:pPr>
        <w:pStyle w:val="Heading1"/>
      </w:pPr>
      <w:r>
        <w:t>40. Professional conduct and social media</w:t>
      </w:r>
    </w:p>
    <w:p>
      <w:pPr>
        <w:pStyle w:val="Heading2"/>
      </w:pPr>
      <w:r>
        <w:t>Purpose and scope</w:t>
      </w:r>
    </w:p>
    <w:p>
      <w:pPr/>
      <w:r>
        <w:t>Professional behavior extends to online spaces.</w:t>
      </w:r>
    </w:p>
    <w:p>
      <w:pPr>
        <w:pStyle w:val="Heading2"/>
      </w:pPr>
      <w:r>
        <w:t>Institutional policy</w:t>
      </w:r>
    </w:p>
    <w:p>
      <w:pPr>
        <w:pStyle w:val="ListBullet"/>
      </w:pPr>
      <w:r>
        <w:t>Harassment, patient disclosure and misleading credential claims are prohibited.</w:t>
      </w:r>
    </w:p>
    <w:p>
      <w:pPr>
        <w:pStyle w:val="ListBullet"/>
      </w:pPr>
      <w:r>
        <w:t>Students must not imply academy endorsement of personal opinions.</w:t>
      </w:r>
    </w:p>
    <w:p>
      <w:pPr>
        <w:pStyle w:val="ListBullet"/>
      </w:pPr>
      <w:r>
        <w:t>Photography and posting of lab activities require consent.</w:t>
      </w:r>
    </w:p>
    <w:p>
      <w:pPr>
        <w:pStyle w:val="Heading2"/>
      </w:pPr>
      <w:r>
        <w:t>Student procedures</w:t>
      </w:r>
    </w:p>
    <w:p>
      <w:pPr>
        <w:pStyle w:val="ListBullet"/>
      </w:pPr>
      <w:r>
        <w:t>Communicate respectfully.</w:t>
      </w:r>
    </w:p>
    <w:p>
      <w:pPr>
        <w:pStyle w:val="ListBullet"/>
      </w:pPr>
      <w:r>
        <w:t>Obtain permission before sharing group photos.</w:t>
      </w:r>
    </w:p>
    <w:p>
      <w:pPr>
        <w:pStyle w:val="ListBullet"/>
      </w:pPr>
      <w:r>
        <w:t>Report harmful or discriminatory conduct.</w:t>
      </w:r>
    </w:p>
    <w:p>
      <w:pPr>
        <w:pStyle w:val="Heading1"/>
      </w:pPr>
      <w:r>
        <w:t>41. Complaints and grievances</w:t>
      </w:r>
    </w:p>
    <w:p>
      <w:pPr>
        <w:pStyle w:val="Heading2"/>
      </w:pPr>
      <w:r>
        <w:t>Operational guidance</w:t>
      </w:r>
    </w:p>
    <w:p>
      <w:r>
        <w:t>Submit a dated complaint describing the concern, relevant course, desired resolution and any supporting evidence. A staff member who is the subject of a complaint should not serve as its sole adjudicator.</w:t>
      </w:r>
    </w:p>
    <w:p>
      <w:r>
        <w:t>The Academy should acknowledge receipt, investigate impartially, communicate the outcome in writing and explain how to appeal. Target response times must be published in the active policy schedule rather than assumed.</w:t>
      </w:r>
    </w:p>
    <w:p>
      <w:pPr>
        <w:pStyle w:val="Heading2"/>
      </w:pPr>
      <w:r>
        <w:t>Purpose and scope</w:t>
      </w:r>
    </w:p>
    <w:p>
      <w:pPr/>
      <w:r>
        <w:t>Concerns should be addressed promptly and fairly.</w:t>
      </w:r>
    </w:p>
    <w:p>
      <w:pPr>
        <w:pStyle w:val="Heading2"/>
      </w:pPr>
      <w:r>
        <w:t>Institutional policy</w:t>
      </w:r>
    </w:p>
    <w:p>
      <w:pPr>
        <w:pStyle w:val="ListBullet"/>
      </w:pPr>
      <w:r>
        <w:t>Complaints may concern teaching, access, billing, safety, discrimination, or certificates.</w:t>
      </w:r>
    </w:p>
    <w:p>
      <w:pPr>
        <w:pStyle w:val="ListBullet"/>
      </w:pPr>
      <w:r>
        <w:t>Students may report without retaliation.</w:t>
      </w:r>
    </w:p>
    <w:p>
      <w:pPr>
        <w:pStyle w:val="ListBullet"/>
      </w:pPr>
      <w:r>
        <w:t>An impartial reviewer should consider relevant records and provide a written outcome.</w:t>
      </w:r>
    </w:p>
    <w:p>
      <w:pPr>
        <w:pStyle w:val="Heading2"/>
      </w:pPr>
      <w:r>
        <w:t>Student procedures</w:t>
      </w:r>
    </w:p>
    <w:p>
      <w:pPr>
        <w:pStyle w:val="ListBullet"/>
      </w:pPr>
      <w:r>
        <w:t>Use the grievance form and submit to the designated administrator.</w:t>
      </w:r>
    </w:p>
    <w:p>
      <w:pPr>
        <w:pStyle w:val="ListBullet"/>
      </w:pPr>
      <w:r>
        <w:t>Include dates, facts, evidence and requested remedy.</w:t>
      </w:r>
    </w:p>
    <w:p>
      <w:pPr>
        <w:pStyle w:val="ListBullet"/>
      </w:pPr>
      <w:r>
        <w:t>Escalate to an uninvolved academy leader if the initial reviewer has a conflict.</w:t>
      </w:r>
    </w:p>
    <w:p>
      <w:pPr>
        <w:pStyle w:val="Heading2"/>
      </w:pPr>
      <w:r>
        <w:t>Implementation and records</w:t>
      </w:r>
    </w:p>
    <w:p>
      <w:pPr/>
      <w:r>
        <w:t>Proposed service standards for approval: acknowledgment within 5 business days and target written response within 20 business days, with notice of extensions.</w:t>
      </w:r>
    </w:p>
    <w:p>
      <w:pPr>
        <w:pStyle w:val="Heading1"/>
      </w:pPr>
      <w:r>
        <w:t>42. Appeals</w:t>
      </w:r>
    </w:p>
    <w:p>
      <w:pPr>
        <w:pStyle w:val="Heading2"/>
      </w:pPr>
      <w:r>
        <w:t>Operational guidance</w:t>
      </w:r>
    </w:p>
    <w:p>
      <w:r>
        <w:t>Appeals should identify the challenged decision, the reason for review and the requested remedy. An appeal reviewer should not be the original decision-maker wherever practicable.</w:t>
      </w:r>
    </w:p>
    <w:p>
      <w:r>
        <w:t>Students retain the right to use any external complaint or regulatory process available under applicable law.</w:t>
      </w:r>
    </w:p>
    <w:p>
      <w:pPr>
        <w:pStyle w:val="Heading2"/>
      </w:pPr>
      <w:r>
        <w:t>Purpose and scope</w:t>
      </w:r>
    </w:p>
    <w:p>
      <w:pPr/>
      <w:r>
        <w:t>Appeals address disputed academic or administrative decisions.</w:t>
      </w:r>
    </w:p>
    <w:p>
      <w:pPr>
        <w:pStyle w:val="Heading2"/>
      </w:pPr>
      <w:r>
        <w:t>Institutional policy</w:t>
      </w:r>
    </w:p>
    <w:p>
      <w:pPr>
        <w:pStyle w:val="ListBullet"/>
      </w:pPr>
      <w:r>
        <w:t>Appeals should focus on procedural error, new evidence, bias or inconsistent application of policy.</w:t>
      </w:r>
    </w:p>
    <w:p>
      <w:pPr>
        <w:pStyle w:val="ListBullet"/>
      </w:pPr>
      <w:r>
        <w:t>A reviewer not responsible for the original decision should assess the appeal where feasible.</w:t>
      </w:r>
    </w:p>
    <w:p>
      <w:pPr>
        <w:pStyle w:val="ListBullet"/>
      </w:pPr>
      <w:r>
        <w:t>External statutory remedies remain available.</w:t>
      </w:r>
    </w:p>
    <w:p>
      <w:pPr>
        <w:pStyle w:val="Heading2"/>
      </w:pPr>
      <w:r>
        <w:t>Student procedures</w:t>
      </w:r>
    </w:p>
    <w:p>
      <w:pPr>
        <w:pStyle w:val="ListBullet"/>
      </w:pPr>
      <w:r>
        <w:t>Submit a written appeal with the original decision and supporting evidence.</w:t>
      </w:r>
    </w:p>
    <w:p>
      <w:pPr>
        <w:pStyle w:val="ListBullet"/>
      </w:pPr>
      <w:r>
        <w:t>State the remedy requested.</w:t>
      </w:r>
    </w:p>
    <w:p>
      <w:pPr>
        <w:pStyle w:val="ListBullet"/>
      </w:pPr>
      <w:r>
        <w:t>Retain the written final determination.</w:t>
      </w:r>
    </w:p>
    <w:p>
      <w:pPr>
        <w:pStyle w:val="Heading2"/>
      </w:pPr>
      <w:r>
        <w:t>Implementation and records</w:t>
      </w:r>
    </w:p>
    <w:p>
      <w:pPr/>
      <w:r>
        <w:t>Proposed filing period for approval: within 10 business days of the decision; not effective until adopted.</w:t>
      </w:r>
    </w:p>
    <w:p>
      <w:r>
        <w:br w:type="page"/>
      </w:r>
    </w:p>
    <w:p>
      <w:pPr>
        <w:pStyle w:val="Heading1"/>
      </w:pPr>
      <w:r>
        <w:t>43. Disciplinary process</w:t>
      </w:r>
    </w:p>
    <w:p>
      <w:pPr>
        <w:pStyle w:val="Heading2"/>
      </w:pPr>
      <w:r>
        <w:t>Purpose and scope</w:t>
      </w:r>
    </w:p>
    <w:p>
      <w:pPr/>
      <w:r>
        <w:t>Safety and fairness require proportionate action.</w:t>
      </w:r>
    </w:p>
    <w:p>
      <w:pPr>
        <w:pStyle w:val="Heading2"/>
      </w:pPr>
      <w:r>
        <w:t>Institutional policy</w:t>
      </w:r>
    </w:p>
    <w:p>
      <w:pPr>
        <w:pStyle w:val="ListBullet"/>
      </w:pPr>
      <w:r>
        <w:t>Possible outcomes include coaching, warning, probation, removal from a lab, suspension or dismissal.</w:t>
      </w:r>
    </w:p>
    <w:p>
      <w:pPr>
        <w:pStyle w:val="ListBullet"/>
      </w:pPr>
      <w:r>
        <w:t>Immediate temporary restrictions may be used for urgent safety risks.</w:t>
      </w:r>
    </w:p>
    <w:p>
      <w:pPr>
        <w:pStyle w:val="ListBullet"/>
      </w:pPr>
      <w:r>
        <w:t>Students should receive notice of allegations and an opportunity to respond.</w:t>
      </w:r>
    </w:p>
    <w:p>
      <w:pPr>
        <w:pStyle w:val="Heading2"/>
      </w:pPr>
      <w:r>
        <w:t>Student procedures</w:t>
      </w:r>
    </w:p>
    <w:p>
      <w:pPr>
        <w:pStyle w:val="ListBullet"/>
      </w:pPr>
      <w:r>
        <w:t>Cooperate with fact finding.</w:t>
      </w:r>
    </w:p>
    <w:p>
      <w:pPr>
        <w:pStyle w:val="ListBullet"/>
      </w:pPr>
      <w:r>
        <w:t>Provide relevant evidence and witnesses.</w:t>
      </w:r>
    </w:p>
    <w:p>
      <w:pPr>
        <w:pStyle w:val="ListBullet"/>
      </w:pPr>
      <w:r>
        <w:t>Use the appeal process for review.</w:t>
      </w:r>
    </w:p>
    <w:p>
      <w:pPr>
        <w:pStyle w:val="Heading1"/>
      </w:pPr>
      <w:r>
        <w:t>44. Records retention and corrections</w:t>
      </w:r>
    </w:p>
    <w:p>
      <w:pPr>
        <w:pStyle w:val="Heading2"/>
      </w:pPr>
      <w:r>
        <w:t>Purpose and scope</w:t>
      </w:r>
    </w:p>
    <w:p>
      <w:pPr/>
      <w:r>
        <w:t>Educational records must remain accurate and secure.</w:t>
      </w:r>
    </w:p>
    <w:p>
      <w:pPr>
        <w:pStyle w:val="Heading2"/>
      </w:pPr>
      <w:r>
        <w:t>Institutional policy</w:t>
      </w:r>
    </w:p>
    <w:p>
      <w:pPr>
        <w:pStyle w:val="ListBullet"/>
      </w:pPr>
      <w:r>
        <w:t>Records may include attendance, assessment, completion, certificates, complaints and consent forms.</w:t>
      </w:r>
    </w:p>
    <w:p>
      <w:pPr>
        <w:pStyle w:val="ListBullet"/>
      </w:pPr>
      <w:r>
        <w:t>Retention periods must comply with applicable law and accreditor/provider rules.</w:t>
      </w:r>
    </w:p>
    <w:p>
      <w:pPr>
        <w:pStyle w:val="ListBullet"/>
      </w:pPr>
      <w:r>
        <w:t>Access and correction requests require verification.</w:t>
      </w:r>
    </w:p>
    <w:p>
      <w:pPr>
        <w:pStyle w:val="Heading2"/>
      </w:pPr>
      <w:r>
        <w:t>Student procedures</w:t>
      </w:r>
    </w:p>
    <w:p>
      <w:pPr>
        <w:pStyle w:val="ListBullet"/>
      </w:pPr>
      <w:r>
        <w:t>Request copies or corrections in writing.</w:t>
      </w:r>
    </w:p>
    <w:p>
      <w:pPr>
        <w:pStyle w:val="ListBullet"/>
      </w:pPr>
      <w:r>
        <w:t>Provide identification when appropriate.</w:t>
      </w:r>
    </w:p>
    <w:p>
      <w:pPr>
        <w:pStyle w:val="ListBullet"/>
      </w:pPr>
      <w:r>
        <w:t>Do not transmit sensitive patient information through unsecured channels.</w:t>
      </w:r>
    </w:p>
    <w:p>
      <w:pPr>
        <w:pStyle w:val="Heading2"/>
      </w:pPr>
      <w:r>
        <w:t>Implementation and records</w:t>
      </w:r>
    </w:p>
    <w:p>
      <w:pPr/>
      <w:r>
        <w:t>The academy must approve a retention schedule by record type and jurisdiction; this draft intentionally does not invent a universal retention period.</w:t>
      </w:r>
    </w:p>
    <w:p>
      <w:pPr>
        <w:pStyle w:val="Heading1"/>
      </w:pPr>
      <w:r>
        <w:t>45. Quality improvement and faculty feedback</w:t>
      </w:r>
    </w:p>
    <w:p>
      <w:pPr>
        <w:pStyle w:val="Heading2"/>
      </w:pPr>
      <w:r>
        <w:t>Purpose and scope</w:t>
      </w:r>
    </w:p>
    <w:p>
      <w:pPr/>
      <w:r>
        <w:t>Evaluation informs course improvement.</w:t>
      </w:r>
    </w:p>
    <w:p>
      <w:pPr>
        <w:pStyle w:val="Heading2"/>
      </w:pPr>
      <w:r>
        <w:t>Institutional policy</w:t>
      </w:r>
    </w:p>
    <w:p>
      <w:pPr>
        <w:pStyle w:val="ListBullet"/>
      </w:pPr>
      <w:r>
        <w:t>Students may be asked to evaluate objectives, faculty, resources, accessibility and perceived practice relevance.</w:t>
      </w:r>
    </w:p>
    <w:p>
      <w:pPr>
        <w:pStyle w:val="ListBullet"/>
      </w:pPr>
      <w:r>
        <w:t>Feedback should be analyzed in aggregate where practical.</w:t>
      </w:r>
    </w:p>
    <w:p>
      <w:pPr>
        <w:pStyle w:val="ListBullet"/>
      </w:pPr>
      <w:r>
        <w:t>Evaluation does not override formal grievance rights.</w:t>
      </w:r>
    </w:p>
    <w:p>
      <w:pPr>
        <w:pStyle w:val="Heading2"/>
      </w:pPr>
      <w:r>
        <w:t>Student procedures</w:t>
      </w:r>
    </w:p>
    <w:p>
      <w:pPr>
        <w:pStyle w:val="ListBullet"/>
      </w:pPr>
      <w:r>
        <w:t>Complete post-course evaluation honestly.</w:t>
      </w:r>
    </w:p>
    <w:p>
      <w:pPr>
        <w:pStyle w:val="ListBullet"/>
      </w:pPr>
      <w:r>
        <w:t>Suggest specific improvements.</w:t>
      </w:r>
    </w:p>
    <w:p>
      <w:pPr>
        <w:pStyle w:val="ListBullet"/>
      </w:pPr>
      <w:r>
        <w:t>Use grievance channels for urgent individual concerns.</w:t>
      </w:r>
    </w:p>
    <w:p>
      <w:r>
        <w:br w:type="page"/>
      </w:r>
    </w:p>
    <w:p>
      <w:pPr>
        <w:pStyle w:val="Heading1"/>
      </w:pPr>
      <w:r>
        <w:t>46. Graduation, alumni and verification</w:t>
      </w:r>
    </w:p>
    <w:p>
      <w:pPr>
        <w:pStyle w:val="Heading2"/>
      </w:pPr>
      <w:r>
        <w:t>Purpose and scope</w:t>
      </w:r>
    </w:p>
    <w:p>
      <w:pPr/>
      <w:r>
        <w:t>Completion should be verified and recorded accurately.</w:t>
      </w:r>
    </w:p>
    <w:p>
      <w:pPr>
        <w:pStyle w:val="Heading2"/>
      </w:pPr>
      <w:r>
        <w:t>Institutional policy</w:t>
      </w:r>
    </w:p>
    <w:p>
      <w:pPr>
        <w:pStyle w:val="ListBullet"/>
      </w:pPr>
      <w:r>
        <w:t>Alumni may request transcript or certificate verification.</w:t>
      </w:r>
    </w:p>
    <w:p>
      <w:pPr>
        <w:pStyle w:val="ListBullet"/>
      </w:pPr>
      <w:r>
        <w:t>Replacement documentation may require a reasonable disclosed administrative fee.</w:t>
      </w:r>
    </w:p>
    <w:p>
      <w:pPr>
        <w:pStyle w:val="ListBullet"/>
      </w:pPr>
      <w:r>
        <w:t>No employment, licensure or clinical privilege is guaranteed.</w:t>
      </w:r>
    </w:p>
    <w:p>
      <w:pPr>
        <w:pStyle w:val="Heading2"/>
      </w:pPr>
      <w:r>
        <w:t>Student procedures</w:t>
      </w:r>
    </w:p>
    <w:p>
      <w:pPr>
        <w:pStyle w:val="ListBullet"/>
      </w:pPr>
      <w:r>
        <w:t>Keep your learner ID and certificates.</w:t>
      </w:r>
    </w:p>
    <w:p>
      <w:pPr>
        <w:pStyle w:val="ListBullet"/>
      </w:pPr>
      <w:r>
        <w:t>Request verification using the designated form.</w:t>
      </w:r>
    </w:p>
    <w:p>
      <w:pPr>
        <w:pStyle w:val="ListBullet"/>
      </w:pPr>
      <w:r>
        <w:t>Notify the academy of name changes with supporting documents.</w:t>
      </w:r>
    </w:p>
    <w:p>
      <w:pPr>
        <w:pStyle w:val="Heading1"/>
      </w:pPr>
      <w:r>
        <w:t>Appendix 1. Student handbook acknowledgment</w:t>
      </w:r>
    </w:p>
    <w:p>
      <w:pPr/>
      <w:r>
        <w:t>Complete this form and submit through the academy’s designated secure communication channel. Do not include identifiable patient information.</w:t>
      </w:r>
    </w:p>
    <w:p>
      <w:pPr/>
      <w:r>
        <w:t>Student full name: __________________________</w:t>
        <w:br/>
        <w:t>_____________________________________________________________________________________</w:t>
      </w:r>
    </w:p>
    <w:p>
      <w:pPr/>
      <w:r>
        <w:t>Program/course: __________________________</w:t>
        <w:br/>
        <w:t>_____________________________________________________________________________________</w:t>
      </w:r>
    </w:p>
    <w:p>
      <w:pPr/>
      <w:r>
        <w:t>I confirm that I received and reviewed this handbook, understand course-specific requirements, and know how to seek clarification.</w:t>
      </w:r>
    </w:p>
    <w:p>
      <w:pPr/>
      <w:r>
        <w:t>Signature: __________________  Date: 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2. Enrollment and financial disclosure checklist</w:t>
      </w:r>
    </w:p>
    <w:p>
      <w:pPr/>
      <w:r>
        <w:t>Complete this form and submit through the academy’s designated secure communication channel. Do not include identifiable patient information.</w:t>
      </w:r>
    </w:p>
    <w:p>
      <w:pPr/>
      <w:r>
        <w:t>Course / cohort: __________________</w:t>
        <w:br/>
        <w:t>_____________________________________________________________________________________</w:t>
      </w:r>
    </w:p>
    <w:p>
      <w:pPr/>
      <w:r>
        <w:t>Tuition and currency: __________________</w:t>
        <w:br/>
        <w:t>_____________________________________________________________________________________</w:t>
      </w:r>
    </w:p>
    <w:p>
      <w:pPr/>
      <w:r>
        <w:t>Required additional fees: __________________</w:t>
        <w:br/>
        <w:t>_____________________________________________________________________________________</w:t>
      </w:r>
    </w:p>
    <w:p>
      <w:pPr/>
      <w:r>
        <w:t>Payment schedule and refund policy provided: Yes / No</w:t>
        <w:br/>
        <w:t>_____________________________________________________________________________________</w:t>
      </w:r>
    </w:p>
    <w:p>
      <w:pPr/>
      <w:r>
        <w:t>Student signature: __________________  Date: 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3. Accommodation request</w:t>
      </w:r>
    </w:p>
    <w:p>
      <w:pPr/>
      <w:r>
        <w:t>Complete this form and submit through the academy’s designated secure communication channel. Do not include identifiable patient information.</w:t>
      </w:r>
    </w:p>
    <w:p>
      <w:pPr/>
      <w:r>
        <w:t>Student / course: __________________</w:t>
        <w:br/>
        <w:t>_____________________________________________________________________________________</w:t>
      </w:r>
    </w:p>
    <w:p>
      <w:pPr/>
      <w:r>
        <w:t>Barrier to access (describe only what is necessary): __________________</w:t>
        <w:br/>
        <w:t>_____________________________________________________________________________________</w:t>
      </w:r>
    </w:p>
    <w:p>
      <w:pPr/>
      <w:r>
        <w:t>Requested adjustment: __________________</w:t>
        <w:br/>
        <w:t>_____________________________________________________________________________________</w:t>
      </w:r>
    </w:p>
    <w:p>
      <w:pPr/>
      <w:r>
        <w:t>Date needed: __________________</w:t>
        <w:br/>
        <w:t>_____________________________________________________________________________________</w:t>
      </w:r>
    </w:p>
    <w:p>
      <w:pPr/>
      <w:r>
        <w:t>Preferred contact method: __________________</w:t>
        <w:br/>
        <w:t>_____________________________________________________________________________________</w:t>
      </w:r>
    </w:p>
    <w:p>
      <w:pPr/>
      <w:r>
        <w:t>Administrator response / decision: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4. Attendance correction request</w:t>
      </w:r>
    </w:p>
    <w:p>
      <w:pPr/>
      <w:r>
        <w:t>Complete this form and submit through the academy’s designated secure communication channel. Do not include identifiable patient information.</w:t>
      </w:r>
    </w:p>
    <w:p>
      <w:pPr/>
      <w:r>
        <w:t>Student / course / session date: __________________</w:t>
        <w:br/>
        <w:t>_____________________________________________________________________________________</w:t>
      </w:r>
    </w:p>
    <w:p>
      <w:pPr/>
      <w:r>
        <w:t>Recorded attendance: __________________</w:t>
        <w:br/>
        <w:t>_____________________________________________________________________________________</w:t>
      </w:r>
    </w:p>
    <w:p>
      <w:pPr/>
      <w:r>
        <w:t>Requested correction and supporting evidence: __________________</w:t>
        <w:br/>
        <w:t>_____________________________________________________________________________________</w:t>
      </w:r>
    </w:p>
    <w:p>
      <w:pPr/>
      <w:r>
        <w:t>Instructor decision and date: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5. Practical competency record</w:t>
      </w:r>
    </w:p>
    <w:p>
      <w:pPr/>
      <w:r>
        <w:t>Complete this form and submit through the academy’s designated secure communication channel. Do not include identifiable patient information.</w:t>
      </w:r>
    </w:p>
    <w:p>
      <w:pPr/>
      <w:r>
        <w:t>Student / course / skill: __________________</w:t>
        <w:br/>
        <w:t>_____________________________________________________________________________________</w:t>
      </w:r>
    </w:p>
    <w:p>
      <w:pPr/>
      <w:r>
        <w:t>Assessment date and examiner: __________________</w:t>
        <w:br/>
        <w:t>_____________________________________________________________________________________</w:t>
      </w:r>
    </w:p>
    <w:p>
      <w:pPr/>
      <w:r>
        <w:t>Observable criteria and safety checks: __________________</w:t>
        <w:br/>
        <w:t>_____________________________________________________________________________________</w:t>
      </w:r>
    </w:p>
    <w:p>
      <w:pPr/>
      <w:r>
        <w:t>Result: Competent / Remediation required</w:t>
        <w:br/>
        <w:t>_____________________________________________________________________________________</w:t>
      </w:r>
    </w:p>
    <w:p>
      <w:pPr/>
      <w:r>
        <w:t>Critical safety concerns / feedback: __________________</w:t>
        <w:br/>
        <w:t>_____________________________________________________________________________________</w:t>
      </w:r>
    </w:p>
    <w:p>
      <w:pPr/>
      <w:r>
        <w:t>Examiner and student signatures: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6. Remediation plan</w:t>
      </w:r>
    </w:p>
    <w:p>
      <w:pPr/>
      <w:r>
        <w:t>Complete this form and submit through the academy’s designated secure communication channel. Do not include identifiable patient information.</w:t>
      </w:r>
    </w:p>
    <w:p>
      <w:pPr/>
      <w:r>
        <w:t>Student / course: __________________</w:t>
        <w:br/>
        <w:t>_____________________________________________________________________________________</w:t>
      </w:r>
    </w:p>
    <w:p>
      <w:pPr/>
      <w:r>
        <w:t>Unmet learning outcome or skill: __________________</w:t>
        <w:br/>
        <w:t>_____________________________________________________________________________________</w:t>
      </w:r>
    </w:p>
    <w:p>
      <w:pPr/>
      <w:r>
        <w:t>Required practice and resources: __________________</w:t>
        <w:br/>
        <w:t>_____________________________________________________________________________________</w:t>
      </w:r>
    </w:p>
    <w:p>
      <w:pPr/>
      <w:r>
        <w:t>Faculty support: __________________</w:t>
        <w:br/>
        <w:t>_____________________________________________________________________________________</w:t>
      </w:r>
    </w:p>
    <w:p>
      <w:pPr/>
      <w:r>
        <w:t>Reassessment method and due date: __________________</w:t>
        <w:br/>
        <w:t>_____________________________________________________________________________________</w:t>
      </w:r>
    </w:p>
    <w:p>
      <w:pPr/>
      <w:r>
        <w:t>Outcome and signatures: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7. Incident and safety report</w:t>
      </w:r>
    </w:p>
    <w:p>
      <w:pPr/>
      <w:r>
        <w:t>Complete this form and submit through the academy’s designated secure communication channel. Do not include identifiable patient information.</w:t>
      </w:r>
    </w:p>
    <w:p>
      <w:pPr/>
      <w:r>
        <w:t>Date / time / location: __________________</w:t>
        <w:br/>
        <w:t>_____________________________________________________________________________________</w:t>
      </w:r>
    </w:p>
    <w:p>
      <w:pPr/>
      <w:r>
        <w:t>Persons involved (minimum necessary): __________________</w:t>
        <w:br/>
        <w:t>_____________________________________________________________________________________</w:t>
      </w:r>
    </w:p>
    <w:p>
      <w:pPr/>
      <w:r>
        <w:t>Event and immediate actions: __________________</w:t>
        <w:br/>
        <w:t>_____________________________________________________________________________________</w:t>
      </w:r>
    </w:p>
    <w:p>
      <w:pPr/>
      <w:r>
        <w:t>Follow-up / referrals: __________________</w:t>
        <w:br/>
        <w:t>_____________________________________________________________________________________</w:t>
      </w:r>
    </w:p>
    <w:p>
      <w:pPr/>
      <w:r>
        <w:t>Reported to / date: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8. Grievance submission form</w:t>
      </w:r>
    </w:p>
    <w:p>
      <w:pPr/>
      <w:r>
        <w:t>Complete this form and submit through the academy’s designated secure communication channel. Do not include identifiable patient information.</w:t>
      </w:r>
    </w:p>
    <w:p>
      <w:pPr/>
      <w:r>
        <w:t>Student / course / preferred contact: __________________</w:t>
        <w:br/>
        <w:t>_____________________________________________________________________________________</w:t>
      </w:r>
    </w:p>
    <w:p>
      <w:pPr/>
      <w:r>
        <w:t>Type: Academic / Financial / Accessibility / Safety / Other</w:t>
        <w:br/>
        <w:t>_____________________________________________________________________________________</w:t>
      </w:r>
    </w:p>
    <w:p>
      <w:pPr/>
      <w:r>
        <w:t>Event dates and factual description: __________________</w:t>
        <w:br/>
        <w:t>_____________________________________________________________________________________</w:t>
      </w:r>
    </w:p>
    <w:p>
      <w:pPr/>
      <w:r>
        <w:t>Prior attempts to resolve: __________________</w:t>
        <w:br/>
        <w:t>_____________________________________________________________________________________</w:t>
      </w:r>
    </w:p>
    <w:p>
      <w:pPr/>
      <w:r>
        <w:t>Requested remedy: __________________</w:t>
        <w:br/>
        <w:t>_____________________________________________________________________________________</w:t>
      </w:r>
    </w:p>
    <w:p>
      <w:pPr/>
      <w:r>
        <w:t>Attachments / signature / date: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9. Appeal request</w:t>
      </w:r>
    </w:p>
    <w:p>
      <w:pPr/>
      <w:r>
        <w:t>Complete this form and submit through the academy’s designated secure communication channel. Do not include identifiable patient information.</w:t>
      </w:r>
    </w:p>
    <w:p>
      <w:pPr/>
      <w:r>
        <w:t>Student / original decision date: __________________</w:t>
        <w:br/>
        <w:t>_____________________________________________________________________________________</w:t>
      </w:r>
    </w:p>
    <w:p>
      <w:pPr/>
      <w:r>
        <w:t>Decision being appealed: __________________</w:t>
        <w:br/>
        <w:t>_____________________________________________________________________________________</w:t>
      </w:r>
    </w:p>
    <w:p>
      <w:pPr/>
      <w:r>
        <w:t>Grounds: procedural error / new evidence / bias / inconsistency</w:t>
        <w:br/>
        <w:t>_____________________________________________________________________________________</w:t>
      </w:r>
    </w:p>
    <w:p>
      <w:pPr/>
      <w:r>
        <w:t>Evidence and requested outcome: __________________</w:t>
        <w:br/>
        <w:t>_____________________________________________________________________________________</w:t>
      </w:r>
    </w:p>
    <w:p>
      <w:pPr/>
      <w:r>
        <w:t>Signature / submission date: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Heading1"/>
      </w:pPr>
      <w:r>
        <w:t>Appendix 10. Certificate or record correction</w:t>
      </w:r>
    </w:p>
    <w:p>
      <w:pPr/>
      <w:r>
        <w:t>Complete this form and submit through the academy’s designated secure communication channel. Do not include identifiable patient information.</w:t>
      </w:r>
    </w:p>
    <w:p>
      <w:pPr/>
      <w:r>
        <w:t>Student / course / completion date: __________________</w:t>
        <w:br/>
        <w:t>_____________________________________________________________________________________</w:t>
      </w:r>
    </w:p>
    <w:p>
      <w:pPr/>
      <w:r>
        <w:t>Document needing correction: __________________</w:t>
        <w:br/>
        <w:t>_____________________________________________________________________________________</w:t>
      </w:r>
    </w:p>
    <w:p>
      <w:pPr/>
      <w:r>
        <w:t>Current entry / requested correction: __________________</w:t>
        <w:br/>
        <w:t>_____________________________________________________________________________________</w:t>
      </w:r>
    </w:p>
    <w:p>
      <w:pPr/>
      <w:r>
        <w:t>Supporting proof attached: __________________</w:t>
        <w:br/>
        <w:t>_____________________________________________________________________________________</w:t>
      </w:r>
    </w:p>
    <w:p>
      <w:pPr/>
      <w:r>
        <w:t>Signature / date: __________________</w:t>
        <w:br/>
        <w:t>_____________________________________________________________________________________</w:t>
      </w:r>
    </w:p>
    <w:p>
      <w:pPr/>
      <w:r>
        <w:t>For academy use: Received by __________________  Date __________  Reference number __________</w:t>
      </w:r>
    </w:p>
    <w:p>
      <w:pPr/>
      <w:r>
        <w:t>Decision / follow-up: ______________________________________________________________________</w:t>
      </w:r>
    </w:p>
    <w:p>
      <w:pPr/>
      <w:r>
        <w:t>_______________________________________________________________________________________</w:t>
      </w:r>
    </w:p>
    <w:p>
      <w:pPr>
        <w:pStyle w:val="ListBullet"/>
      </w:pPr>
      <w:r>
        <w:t>Approve the handbook effective date and governing entity</w:t>
      </w:r>
    </w:p>
    <w:p>
      <w:pPr>
        <w:pStyle w:val="ListBullet"/>
      </w:pPr>
      <w:r>
        <w:t>Confirm tuition and refund schedule for each country and course format</w:t>
      </w:r>
    </w:p>
    <w:p>
      <w:pPr>
        <w:pStyle w:val="ListBullet"/>
      </w:pPr>
      <w:r>
        <w:t>Set written assessment pass scores, retake limits and remediation fees in each syllabus</w:t>
      </w:r>
    </w:p>
    <w:p>
      <w:pPr>
        <w:pStyle w:val="ListBullet"/>
      </w:pPr>
      <w:r>
        <w:t>Verify current AOTA, OTCK and other regulator statements and identifiers</w:t>
      </w:r>
    </w:p>
    <w:p>
      <w:pPr>
        <w:pStyle w:val="ListBullet"/>
      </w:pPr>
      <w:r>
        <w:t>Approve grievance and appeal contacts and service deadlines</w:t>
      </w:r>
    </w:p>
    <w:p>
      <w:pPr>
        <w:pStyle w:val="ListBullet"/>
      </w:pPr>
      <w:r>
        <w:t>Approve record retention schedule, privacy notices and applicable governing law</w:t>
      </w:r>
    </w:p>
    <w:p>
      <w:pPr>
        <w:pStyle w:val="ListBullet"/>
      </w:pPr>
      <w:r>
        <w:t>Review legal compliance for U.S., Kenya, Nigeria and other delivery locations</w:t>
      </w:r>
    </w:p>
    <w:p>
      <w:pPr>
        <w:pStyle w:val="ListBullet"/>
      </w:pPr>
      <w:r>
        <w:t>Publish approved version and archive superseded copies</w:t>
      </w:r>
    </w:p>
    <w:p>
      <w:pPr/>
      <w:r>
        <w:t>This checklist is for academy management and is not a substitute for legal or regulator review.</w:t>
      </w:r>
    </w:p>
    <w:p>
      <w:r>
        <w:br w:type="page"/>
      </w:r>
    </w:p>
    <w:p>
      <w:pPr>
        <w:pStyle w:val="Heading1"/>
      </w:pPr>
      <w:r>
        <w:t>Appendix 11. Course-specific enrollment disclosure</w:t>
      </w:r>
    </w:p>
    <w:p>
      <w:r>
        <w:t>Complete and retain this form with the student or course administrative record, as applicable.</w:t>
      </w:r>
    </w:p>
    <w:p>
      <w:r>
        <w:t>Course name / code:  _____________________________________________</w:t>
      </w:r>
    </w:p>
    <w:p>
      <w:r>
        <w:t>Delivery dates and modality:  _____________________________________________</w:t>
      </w:r>
    </w:p>
    <w:p>
      <w:r>
        <w:t>Prerequisites and eligible professions:  _____________________________________________</w:t>
      </w:r>
    </w:p>
    <w:p>
      <w:r>
        <w:t>Total instructional contact hours / credit designation:  _____________________________________________</w:t>
      </w:r>
    </w:p>
    <w:p>
      <w:r>
        <w:t>Tuition and currency:  _____________________________________________</w:t>
      </w:r>
    </w:p>
    <w:p>
      <w:r>
        <w:t>Mandatory materials and laboratory fees:  _____________________________________________</w:t>
      </w:r>
    </w:p>
    <w:p>
      <w:r>
        <w:t>Payment dates:  _____________________________________________</w:t>
      </w:r>
    </w:p>
    <w:p>
      <w:r>
        <w:t>Cancellation and refund schedule provided:  _____________________________________________</w:t>
      </w:r>
    </w:p>
    <w:p>
      <w:r>
        <w:t>Student signature and date:  _____________________________________________</w:t>
      </w:r>
    </w:p>
    <w:p>
      <w:r>
        <w:br w:type="page"/>
      </w:r>
    </w:p>
    <w:p>
      <w:pPr>
        <w:pStyle w:val="Heading1"/>
      </w:pPr>
      <w:r>
        <w:t>Appendix 12. Examination and reassessment notice</w:t>
      </w:r>
    </w:p>
    <w:p>
      <w:r>
        <w:t>Complete and retain this form with the student or course administrative record, as applicable.</w:t>
      </w:r>
    </w:p>
    <w:p>
      <w:r>
        <w:t>Course / cohort:  _____________________________________________</w:t>
      </w:r>
    </w:p>
    <w:p>
      <w:r>
        <w:t>Assessment type and date:  _____________________________________________</w:t>
      </w:r>
    </w:p>
    <w:p>
      <w:r>
        <w:t>Published passing standard:  _____________________________________________</w:t>
      </w:r>
    </w:p>
    <w:p>
      <w:r>
        <w:t>Result and supporting criteria:  _____________________________________________</w:t>
      </w:r>
    </w:p>
    <w:p>
      <w:r>
        <w:t>Critical safety issues, if any:  _____________________________________________</w:t>
      </w:r>
    </w:p>
    <w:p>
      <w:r>
        <w:t>Retake eligibility and deadline:  _____________________________________________</w:t>
      </w:r>
    </w:p>
    <w:p>
      <w:r>
        <w:t>Faculty feedback:  _____________________________________________</w:t>
      </w:r>
    </w:p>
    <w:p>
      <w:r>
        <w:t>Appeal instructions:  _____________________________________________</w:t>
      </w:r>
    </w:p>
    <w:p>
      <w:r>
        <w:t>Student receipt acknowledgment:  _____________________________________________</w:t>
      </w:r>
    </w:p>
    <w:p>
      <w:r>
        <w:br w:type="page"/>
      </w:r>
    </w:p>
    <w:p>
      <w:pPr>
        <w:pStyle w:val="Heading1"/>
      </w:pPr>
      <w:r>
        <w:t>Appendix 13. Clinical laboratory consent and safety checklist</w:t>
      </w:r>
    </w:p>
    <w:p>
      <w:r>
        <w:t>Complete and retain this form with the student or course administrative record, as applicable.</w:t>
      </w:r>
    </w:p>
    <w:p>
      <w:r>
        <w:t>Learner / session:  _____________________________________________</w:t>
      </w:r>
    </w:p>
    <w:p>
      <w:r>
        <w:t>Consent to participate or observe:  _____________________________________________</w:t>
      </w:r>
    </w:p>
    <w:p>
      <w:r>
        <w:t>Right to decline partner demonstration:  _____________________________________________</w:t>
      </w:r>
    </w:p>
    <w:p>
      <w:r>
        <w:t>Allergies / sensitivities communicated privately:  _____________________________________________</w:t>
      </w:r>
    </w:p>
    <w:p>
      <w:r>
        <w:t>Hand hygiene and PPE:  _____________________________________________</w:t>
      </w:r>
    </w:p>
    <w:p>
      <w:r>
        <w:t>Draping and privacy:  _____________________________________________</w:t>
      </w:r>
    </w:p>
    <w:p>
      <w:r>
        <w:t>Red flags reviewed:  _____________________________________________</w:t>
      </w:r>
    </w:p>
    <w:p>
      <w:r>
        <w:t>Instructor name:  _____________________________________________</w:t>
      </w:r>
    </w:p>
    <w:p>
      <w:r>
        <w:t>Incident reporting contact:  _____________________________________________</w:t>
      </w:r>
    </w:p>
    <w:p>
      <w:r>
        <w:br w:type="page"/>
      </w:r>
    </w:p>
    <w:p>
      <w:pPr>
        <w:pStyle w:val="Heading1"/>
      </w:pPr>
      <w:r>
        <w:t>Appendix 14. Country-specific CPD verification record</w:t>
      </w:r>
    </w:p>
    <w:p>
      <w:r>
        <w:t>Complete and retain this form with the student or course administrative record, as applicable.</w:t>
      </w:r>
    </w:p>
    <w:p>
      <w:r>
        <w:t>Country and profession:  _____________________________________________</w:t>
      </w:r>
    </w:p>
    <w:p>
      <w:r>
        <w:t>Regulator / board:  _____________________________________________</w:t>
      </w:r>
    </w:p>
    <w:p>
      <w:r>
        <w:t>Provider approval identifier (verified):  _____________________________________________</w:t>
      </w:r>
    </w:p>
    <w:p>
      <w:r>
        <w:t>Activity approval identifier (verified):  _____________________________________________</w:t>
      </w:r>
    </w:p>
    <w:p>
      <w:r>
        <w:t>Eligible contact hours / CPD points:  _____________________________________________</w:t>
      </w:r>
    </w:p>
    <w:p>
      <w:r>
        <w:t>Validity dates:  _____________________________________________</w:t>
      </w:r>
    </w:p>
    <w:p>
      <w:r>
        <w:t>Verification URL or official correspondence:  _____________________________________________</w:t>
      </w:r>
    </w:p>
    <w:p>
      <w:r>
        <w:t>Staff verifier and date:  _____________________________________________</w:t>
      </w:r>
    </w:p>
    <w:p>
      <w:r>
        <w:t>Certificate wording approved:  _____________________________________________</w:t>
      </w:r>
    </w:p>
    <w:p>
      <w:r>
        <w:br w:type="page"/>
      </w:r>
    </w:p>
    <w:p>
      <w:pPr>
        <w:pStyle w:val="Heading1"/>
      </w:pPr>
      <w:r>
        <w:t>Administrative publication and approval register</w:t>
      </w:r>
    </w:p>
    <w:p>
      <w:r>
        <w:t>Before official issuance, the Academy must authorize or confirm the following. This register is for internal administrators and may be removed from student-facing distribution once completed.</w:t>
      </w:r>
    </w:p>
    <w:p>
      <w:r>
        <w:t>☐  Board/CEO approval and effective date</w:t>
      </w:r>
    </w:p>
    <w:p>
      <w:r>
        <w:t>☐  Tuition schedule, refund percentages and payment dispute process</w:t>
      </w:r>
    </w:p>
    <w:p>
      <w:r>
        <w:t>☐  Assessment pass marks, retake limits and remediation fees by course</w:t>
      </w:r>
    </w:p>
    <w:p>
      <w:r>
        <w:t>☐  Formal grievance acknowledgment and decision timelines</w:t>
      </w:r>
    </w:p>
    <w:p>
      <w:r>
        <w:t>☐  Records retention periods by applicable jurisdiction</w:t>
      </w:r>
    </w:p>
    <w:p>
      <w:r>
        <w:t>☐  Current AOTA activity designations and required disclosures</w:t>
      </w:r>
    </w:p>
    <w:p>
      <w:r>
        <w:t>☐  Kenya OTCK and other professional-board registration/approval identifiers</w:t>
      </w:r>
    </w:p>
    <w:p>
      <w:r>
        <w:t>☐  Nigeria and other national CPD recognition statements</w:t>
      </w:r>
    </w:p>
    <w:p>
      <w:r>
        <w:t>☐  Current contact details and designated CE administrator</w:t>
      </w:r>
    </w:p>
    <w:p>
      <w:r>
        <w:t>☐  Accessibility request channel and privacy/data protection notice</w:t>
      </w:r>
    </w:p>
    <w:sectPr w:rsidR="00FC693F" w:rsidRPr="0006063C" w:rsidSect="00034616">
      <w:headerReference w:type="default" r:id="rId9"/>
      <w:footerReference w:type="default" r:id="rId10"/>
      <w:pgSz w:w="12240" w:h="15840"/>
      <w:pgMar w:top="1123"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 LGTAL  •  Student Handbook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125A40"/>
      </w:rPr>
      <w:t>LGTAL  |  STUDENT HANDBOOK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25A4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916F24"/>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125A4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